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0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7"/>
        <w:spacing w:after="0" w:line="234"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18"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61"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QUARTERLY REPORT PURSUANT TO SECTION 13 OR 15(d) OF THE SECURITIES EXCHANGE ACT OF 1934</w:t>
      </w:r>
    </w:p>
    <w:p>
      <w:pPr>
        <w:spacing w:after="0" w:line="13" w:lineRule="exact"/>
        <w:rPr>
          <w:sz w:val="24"/>
          <w:szCs w:val="24"/>
          <w:color w:val="auto"/>
        </w:rPr>
      </w:pPr>
    </w:p>
    <w:p>
      <w:pPr>
        <w:jc w:val="center"/>
        <w:ind w:right="-27"/>
        <w:spacing w:after="0"/>
        <w:rPr>
          <w:sz w:val="20"/>
          <w:szCs w:val="20"/>
          <w:color w:val="auto"/>
        </w:rPr>
      </w:pPr>
      <w:r>
        <w:rPr>
          <w:rFonts w:ascii="Times New Roman" w:cs="Times New Roman" w:eastAsia="Times New Roman" w:hAnsi="Times New Roman"/>
          <w:sz w:val="12"/>
          <w:szCs w:val="12"/>
          <w:b w:val="1"/>
          <w:bCs w:val="1"/>
          <w:color w:val="auto"/>
        </w:rPr>
        <w:t>for the quarterly period ended March 31, 2024</w:t>
      </w:r>
    </w:p>
    <w:p>
      <w:pPr>
        <w:spacing w:after="0" w:line="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60" w:lineRule="exact"/>
        <w:rPr>
          <w:sz w:val="24"/>
          <w:szCs w:val="24"/>
          <w:color w:val="auto"/>
        </w:rPr>
      </w:pPr>
    </w:p>
    <w:p>
      <w:pPr>
        <w:ind w:left="4828" w:right="4800" w:hanging="4828"/>
        <w:spacing w:after="0" w:line="291" w:lineRule="auto"/>
        <w:tabs>
          <w:tab w:leader="none" w:pos="230" w:val="left"/>
        </w:tabs>
        <w:numPr>
          <w:ilvl w:val="0"/>
          <w:numId w:val="2"/>
        </w:numPr>
        <w:rPr>
          <w:rFonts w:ascii="MS PGothic" w:cs="MS PGothic" w:eastAsia="MS PGothic" w:hAnsi="MS PGothic"/>
          <w:sz w:val="11"/>
          <w:szCs w:val="11"/>
          <w:color w:val="auto"/>
        </w:rPr>
      </w:pPr>
      <w:r>
        <w:rPr>
          <w:rFonts w:ascii="Times New Roman" w:cs="Times New Roman" w:eastAsia="Times New Roman" w:hAnsi="Times New Roman"/>
          <w:sz w:val="11"/>
          <w:szCs w:val="11"/>
          <w:b w:val="1"/>
          <w:bCs w:val="1"/>
          <w:color w:val="auto"/>
        </w:rPr>
        <w:t>TRANSITION REPORT PURSUANT TO SECTION 13 OR 15(d) OF THE SECURITIES EXCHANGE ACT OF 1934 Commission File Number 0-3295</w:t>
      </w:r>
    </w:p>
    <w:p>
      <w:pPr>
        <w:spacing w:after="0" w:line="1" w:lineRule="exact"/>
        <w:rPr>
          <w:sz w:val="24"/>
          <w:szCs w:val="24"/>
          <w:color w:val="auto"/>
        </w:rPr>
      </w:pPr>
    </w:p>
    <w:tbl>
      <w:tblPr>
        <w:tblLayout w:type="fixed"/>
        <w:tblInd w:w="18" w:type="dxa"/>
        <w:tblCellMar>
          <w:top w:w="0" w:type="dxa"/>
          <w:left w:w="0" w:type="dxa"/>
          <w:bottom w:w="0" w:type="dxa"/>
          <w:right w:w="0" w:type="dxa"/>
        </w:tblCellMar>
      </w:tblPr>
      <w:tr>
        <w:trPr>
          <w:trHeight w:val="255"/>
        </w:trPr>
        <w:tc>
          <w:tcPr>
            <w:tcW w:w="3980" w:type="dxa"/>
            <w:vAlign w:val="bottom"/>
          </w:tcPr>
          <w:p>
            <w:pPr>
              <w:spacing w:after="0"/>
              <w:rPr>
                <w:sz w:val="22"/>
                <w:szCs w:val="22"/>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KOSS CORPORATION</w:t>
            </w:r>
          </w:p>
        </w:tc>
        <w:tc>
          <w:tcPr>
            <w:tcW w:w="3940" w:type="dxa"/>
            <w:vAlign w:val="bottom"/>
          </w:tcPr>
          <w:p>
            <w:pPr>
              <w:spacing w:after="0"/>
              <w:rPr>
                <w:sz w:val="22"/>
                <w:szCs w:val="22"/>
                <w:color w:val="auto"/>
              </w:rPr>
            </w:pPr>
          </w:p>
        </w:tc>
      </w:tr>
      <w:tr>
        <w:trPr>
          <w:trHeight w:val="155"/>
        </w:trPr>
        <w:tc>
          <w:tcPr>
            <w:tcW w:w="3980" w:type="dxa"/>
            <w:vAlign w:val="bottom"/>
          </w:tcPr>
          <w:p>
            <w:pPr>
              <w:spacing w:after="0"/>
              <w:rPr>
                <w:sz w:val="13"/>
                <w:szCs w:val="13"/>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3940" w:type="dxa"/>
            <w:vAlign w:val="bottom"/>
          </w:tcPr>
          <w:p>
            <w:pPr>
              <w:spacing w:after="0"/>
              <w:rPr>
                <w:sz w:val="13"/>
                <w:szCs w:val="13"/>
                <w:color w:val="auto"/>
              </w:rPr>
            </w:pPr>
          </w:p>
        </w:tc>
      </w:tr>
      <w:tr>
        <w:trPr>
          <w:trHeight w:val="169"/>
        </w:trPr>
        <w:tc>
          <w:tcPr>
            <w:tcW w:w="3980" w:type="dxa"/>
            <w:vAlign w:val="bottom"/>
          </w:tcPr>
          <w:p>
            <w:pPr>
              <w:jc w:val="center"/>
              <w:ind w:left="1480"/>
              <w:spacing w:after="0"/>
              <w:rPr>
                <w:sz w:val="20"/>
                <w:szCs w:val="20"/>
                <w:color w:val="auto"/>
              </w:rPr>
            </w:pPr>
            <w:r>
              <w:rPr>
                <w:rFonts w:ascii="Times New Roman" w:cs="Times New Roman" w:eastAsia="Times New Roman" w:hAnsi="Times New Roman"/>
                <w:sz w:val="12"/>
                <w:szCs w:val="12"/>
                <w:b w:val="1"/>
                <w:bCs w:val="1"/>
                <w:color w:val="auto"/>
                <w:w w:val="96"/>
              </w:rPr>
              <w:t>DELAWARE</w:t>
            </w:r>
          </w:p>
        </w:tc>
        <w:tc>
          <w:tcPr>
            <w:tcW w:w="3380" w:type="dxa"/>
            <w:vAlign w:val="bottom"/>
          </w:tcPr>
          <w:p>
            <w:pPr>
              <w:spacing w:after="0"/>
              <w:rPr>
                <w:sz w:val="14"/>
                <w:szCs w:val="14"/>
                <w:color w:val="auto"/>
              </w:rPr>
            </w:pPr>
          </w:p>
        </w:tc>
        <w:tc>
          <w:tcPr>
            <w:tcW w:w="3940" w:type="dxa"/>
            <w:vAlign w:val="bottom"/>
          </w:tcPr>
          <w:p>
            <w:pPr>
              <w:jc w:val="right"/>
              <w:ind w:right="2480"/>
              <w:spacing w:after="0"/>
              <w:rPr>
                <w:sz w:val="20"/>
                <w:szCs w:val="20"/>
                <w:color w:val="auto"/>
              </w:rPr>
            </w:pPr>
            <w:r>
              <w:rPr>
                <w:rFonts w:ascii="Times New Roman" w:cs="Times New Roman" w:eastAsia="Times New Roman" w:hAnsi="Times New Roman"/>
                <w:sz w:val="12"/>
                <w:szCs w:val="12"/>
                <w:b w:val="1"/>
                <w:bCs w:val="1"/>
                <w:color w:val="auto"/>
              </w:rPr>
              <w:t>39-1168275</w:t>
            </w:r>
          </w:p>
        </w:tc>
      </w:tr>
      <w:tr>
        <w:trPr>
          <w:trHeight w:val="126"/>
        </w:trPr>
        <w:tc>
          <w:tcPr>
            <w:tcW w:w="3980" w:type="dxa"/>
            <w:vAlign w:val="bottom"/>
          </w:tcPr>
          <w:p>
            <w:pPr>
              <w:jc w:val="center"/>
              <w:ind w:left="1480"/>
              <w:spacing w:after="0" w:line="126" w:lineRule="exact"/>
              <w:rPr>
                <w:sz w:val="20"/>
                <w:szCs w:val="20"/>
                <w:color w:val="auto"/>
              </w:rPr>
            </w:pPr>
            <w:r>
              <w:rPr>
                <w:rFonts w:ascii="Times New Roman" w:cs="Times New Roman" w:eastAsia="Times New Roman" w:hAnsi="Times New Roman"/>
                <w:sz w:val="12"/>
                <w:szCs w:val="12"/>
                <w:color w:val="auto"/>
              </w:rPr>
              <w:t>(State or other jurisdiction of</w:t>
            </w:r>
          </w:p>
        </w:tc>
        <w:tc>
          <w:tcPr>
            <w:tcW w:w="3380" w:type="dxa"/>
            <w:vAlign w:val="bottom"/>
          </w:tcPr>
          <w:p>
            <w:pPr>
              <w:spacing w:after="0"/>
              <w:rPr>
                <w:sz w:val="10"/>
                <w:szCs w:val="10"/>
                <w:color w:val="auto"/>
              </w:rPr>
            </w:pPr>
          </w:p>
        </w:tc>
        <w:tc>
          <w:tcPr>
            <w:tcW w:w="3940" w:type="dxa"/>
            <w:vAlign w:val="bottom"/>
          </w:tcPr>
          <w:p>
            <w:pPr>
              <w:ind w:left="240"/>
              <w:spacing w:after="0" w:line="126" w:lineRule="exact"/>
              <w:rPr>
                <w:sz w:val="20"/>
                <w:szCs w:val="20"/>
                <w:color w:val="auto"/>
              </w:rPr>
            </w:pPr>
            <w:r>
              <w:rPr>
                <w:rFonts w:ascii="Times New Roman" w:cs="Times New Roman" w:eastAsia="Times New Roman" w:hAnsi="Times New Roman"/>
                <w:sz w:val="12"/>
                <w:szCs w:val="12"/>
                <w:color w:val="auto"/>
              </w:rPr>
              <w:t>(I.R.S. Employer Identification No.)</w:t>
            </w:r>
          </w:p>
        </w:tc>
      </w:tr>
      <w:tr>
        <w:trPr>
          <w:trHeight w:val="155"/>
        </w:trPr>
        <w:tc>
          <w:tcPr>
            <w:tcW w:w="3980" w:type="dxa"/>
            <w:vAlign w:val="bottom"/>
          </w:tcPr>
          <w:p>
            <w:pPr>
              <w:jc w:val="center"/>
              <w:ind w:left="1480"/>
              <w:spacing w:after="0"/>
              <w:rPr>
                <w:sz w:val="20"/>
                <w:szCs w:val="20"/>
                <w:color w:val="auto"/>
              </w:rPr>
            </w:pPr>
            <w:r>
              <w:rPr>
                <w:rFonts w:ascii="Times New Roman" w:cs="Times New Roman" w:eastAsia="Times New Roman" w:hAnsi="Times New Roman"/>
                <w:sz w:val="12"/>
                <w:szCs w:val="12"/>
                <w:color w:val="auto"/>
                <w:w w:val="99"/>
              </w:rPr>
              <w:t>incorporation or organization)</w:t>
            </w:r>
          </w:p>
        </w:tc>
        <w:tc>
          <w:tcPr>
            <w:tcW w:w="3380" w:type="dxa"/>
            <w:vAlign w:val="bottom"/>
          </w:tcPr>
          <w:p>
            <w:pPr>
              <w:spacing w:after="0"/>
              <w:rPr>
                <w:sz w:val="13"/>
                <w:szCs w:val="13"/>
                <w:color w:val="auto"/>
              </w:rPr>
            </w:pPr>
          </w:p>
        </w:tc>
        <w:tc>
          <w:tcPr>
            <w:tcW w:w="3940" w:type="dxa"/>
            <w:vAlign w:val="bottom"/>
          </w:tcPr>
          <w:p>
            <w:pPr>
              <w:spacing w:after="0"/>
              <w:rPr>
                <w:sz w:val="13"/>
                <w:szCs w:val="13"/>
                <w:color w:val="auto"/>
              </w:rPr>
            </w:pPr>
          </w:p>
        </w:tc>
      </w:tr>
      <w:tr>
        <w:trPr>
          <w:trHeight w:val="300"/>
        </w:trPr>
        <w:tc>
          <w:tcPr>
            <w:tcW w:w="7360" w:type="dxa"/>
            <w:vAlign w:val="bottom"/>
            <w:gridSpan w:val="2"/>
          </w:tcPr>
          <w:p>
            <w:pPr>
              <w:jc w:val="center"/>
              <w:ind w:right="1790"/>
              <w:spacing w:after="0"/>
              <w:rPr>
                <w:sz w:val="20"/>
                <w:szCs w:val="20"/>
                <w:color w:val="auto"/>
              </w:rPr>
            </w:pPr>
            <w:r>
              <w:rPr>
                <w:rFonts w:ascii="Times New Roman" w:cs="Times New Roman" w:eastAsia="Times New Roman" w:hAnsi="Times New Roman"/>
                <w:sz w:val="12"/>
                <w:szCs w:val="12"/>
                <w:b w:val="1"/>
                <w:bCs w:val="1"/>
                <w:color w:val="auto"/>
                <w:w w:val="99"/>
              </w:rPr>
              <w:t>4129 North Port Washington Avenue, Milwaukee,</w:t>
            </w:r>
          </w:p>
        </w:tc>
        <w:tc>
          <w:tcPr>
            <w:tcW w:w="3940" w:type="dxa"/>
            <w:vAlign w:val="bottom"/>
          </w:tcPr>
          <w:p>
            <w:pPr>
              <w:jc w:val="right"/>
              <w:ind w:right="2620"/>
              <w:spacing w:after="0"/>
              <w:rPr>
                <w:sz w:val="20"/>
                <w:szCs w:val="20"/>
                <w:color w:val="auto"/>
              </w:rPr>
            </w:pPr>
            <w:r>
              <w:rPr>
                <w:rFonts w:ascii="Times New Roman" w:cs="Times New Roman" w:eastAsia="Times New Roman" w:hAnsi="Times New Roman"/>
                <w:sz w:val="12"/>
                <w:szCs w:val="12"/>
                <w:b w:val="1"/>
                <w:bCs w:val="1"/>
                <w:color w:val="auto"/>
              </w:rPr>
              <w:t>53212</w:t>
            </w:r>
          </w:p>
        </w:tc>
      </w:tr>
      <w:tr>
        <w:trPr>
          <w:trHeight w:val="139"/>
        </w:trPr>
        <w:tc>
          <w:tcPr>
            <w:tcW w:w="3980" w:type="dxa"/>
            <w:vAlign w:val="bottom"/>
          </w:tcPr>
          <w:p>
            <w:pPr>
              <w:jc w:val="center"/>
              <w:ind w:left="1480"/>
              <w:spacing w:after="0"/>
              <w:rPr>
                <w:sz w:val="20"/>
                <w:szCs w:val="20"/>
                <w:color w:val="auto"/>
              </w:rPr>
            </w:pPr>
            <w:r>
              <w:rPr>
                <w:rFonts w:ascii="Times New Roman" w:cs="Times New Roman" w:eastAsia="Times New Roman" w:hAnsi="Times New Roman"/>
                <w:sz w:val="12"/>
                <w:szCs w:val="12"/>
                <w:b w:val="1"/>
                <w:bCs w:val="1"/>
                <w:color w:val="auto"/>
                <w:w w:val="98"/>
              </w:rPr>
              <w:t>Wisconsin</w:t>
            </w:r>
          </w:p>
        </w:tc>
        <w:tc>
          <w:tcPr>
            <w:tcW w:w="3380" w:type="dxa"/>
            <w:vAlign w:val="bottom"/>
          </w:tcPr>
          <w:p>
            <w:pPr>
              <w:spacing w:after="0"/>
              <w:rPr>
                <w:sz w:val="12"/>
                <w:szCs w:val="12"/>
                <w:color w:val="auto"/>
              </w:rPr>
            </w:pPr>
          </w:p>
        </w:tc>
        <w:tc>
          <w:tcPr>
            <w:tcW w:w="3940" w:type="dxa"/>
            <w:vAlign w:val="bottom"/>
          </w:tcPr>
          <w:p>
            <w:pPr>
              <w:spacing w:after="0"/>
              <w:rPr>
                <w:sz w:val="12"/>
                <w:szCs w:val="12"/>
                <w:color w:val="auto"/>
              </w:rPr>
            </w:pPr>
          </w:p>
        </w:tc>
      </w:tr>
      <w:tr>
        <w:trPr>
          <w:trHeight w:val="155"/>
        </w:trPr>
        <w:tc>
          <w:tcPr>
            <w:tcW w:w="3980" w:type="dxa"/>
            <w:vAlign w:val="bottom"/>
          </w:tcPr>
          <w:p>
            <w:pPr>
              <w:jc w:val="center"/>
              <w:ind w:left="1500"/>
              <w:spacing w:after="0"/>
              <w:rPr>
                <w:sz w:val="20"/>
                <w:szCs w:val="20"/>
                <w:color w:val="auto"/>
              </w:rPr>
            </w:pPr>
            <w:r>
              <w:rPr>
                <w:rFonts w:ascii="Times New Roman" w:cs="Times New Roman" w:eastAsia="Times New Roman" w:hAnsi="Times New Roman"/>
                <w:sz w:val="12"/>
                <w:szCs w:val="12"/>
                <w:color w:val="auto"/>
                <w:w w:val="99"/>
              </w:rPr>
              <w:t>(Address of principal executive offices)</w:t>
            </w:r>
          </w:p>
        </w:tc>
        <w:tc>
          <w:tcPr>
            <w:tcW w:w="3380" w:type="dxa"/>
            <w:vAlign w:val="bottom"/>
          </w:tcPr>
          <w:p>
            <w:pPr>
              <w:spacing w:after="0"/>
              <w:rPr>
                <w:sz w:val="13"/>
                <w:szCs w:val="13"/>
                <w:color w:val="auto"/>
              </w:rPr>
            </w:pPr>
          </w:p>
        </w:tc>
        <w:tc>
          <w:tcPr>
            <w:tcW w:w="3940" w:type="dxa"/>
            <w:vAlign w:val="bottom"/>
          </w:tcPr>
          <w:p>
            <w:pPr>
              <w:ind w:left="860"/>
              <w:spacing w:after="0"/>
              <w:rPr>
                <w:sz w:val="20"/>
                <w:szCs w:val="20"/>
                <w:color w:val="auto"/>
              </w:rPr>
            </w:pPr>
            <w:r>
              <w:rPr>
                <w:rFonts w:ascii="Times New Roman" w:cs="Times New Roman" w:eastAsia="Times New Roman" w:hAnsi="Times New Roman"/>
                <w:sz w:val="12"/>
                <w:szCs w:val="12"/>
                <w:color w:val="auto"/>
              </w:rPr>
              <w:t>(Zip Code)</w:t>
            </w:r>
          </w:p>
        </w:tc>
      </w:tr>
      <w:tr>
        <w:trPr>
          <w:trHeight w:val="315"/>
        </w:trPr>
        <w:tc>
          <w:tcPr>
            <w:tcW w:w="3980" w:type="dxa"/>
            <w:vAlign w:val="bottom"/>
          </w:tcPr>
          <w:p>
            <w:pPr>
              <w:spacing w:after="0"/>
              <w:rPr>
                <w:sz w:val="24"/>
                <w:szCs w:val="24"/>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 xml:space="preserve">Registrant’s telephone number, including area code: </w:t>
            </w:r>
            <w:r>
              <w:rPr>
                <w:rFonts w:ascii="Times New Roman" w:cs="Times New Roman" w:eastAsia="Times New Roman" w:hAnsi="Times New Roman"/>
                <w:sz w:val="12"/>
                <w:szCs w:val="12"/>
                <w:b w:val="1"/>
                <w:bCs w:val="1"/>
                <w:color w:val="auto"/>
                <w:w w:val="99"/>
              </w:rPr>
              <w:t>(414) 964-5000</w:t>
            </w:r>
          </w:p>
        </w:tc>
        <w:tc>
          <w:tcPr>
            <w:tcW w:w="3940" w:type="dxa"/>
            <w:vAlign w:val="bottom"/>
          </w:tcPr>
          <w:p>
            <w:pPr>
              <w:spacing w:after="0"/>
              <w:rPr>
                <w:sz w:val="24"/>
                <w:szCs w:val="24"/>
                <w:color w:val="auto"/>
              </w:rPr>
            </w:pPr>
          </w:p>
        </w:tc>
      </w:tr>
      <w:tr>
        <w:trPr>
          <w:trHeight w:val="198"/>
        </w:trPr>
        <w:tc>
          <w:tcPr>
            <w:tcW w:w="398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380" w:type="dxa"/>
            <w:vAlign w:val="bottom"/>
          </w:tcPr>
          <w:p>
            <w:pPr>
              <w:spacing w:after="0"/>
              <w:rPr>
                <w:sz w:val="17"/>
                <w:szCs w:val="17"/>
                <w:color w:val="auto"/>
              </w:rPr>
            </w:pPr>
          </w:p>
        </w:tc>
        <w:tc>
          <w:tcPr>
            <w:tcW w:w="3940" w:type="dxa"/>
            <w:vAlign w:val="bottom"/>
          </w:tcPr>
          <w:p>
            <w:pPr>
              <w:spacing w:after="0"/>
              <w:rPr>
                <w:sz w:val="17"/>
                <w:szCs w:val="17"/>
                <w:color w:val="auto"/>
              </w:rPr>
            </w:pPr>
          </w:p>
        </w:tc>
      </w:tr>
      <w:tr>
        <w:trPr>
          <w:trHeight w:val="70"/>
        </w:trPr>
        <w:tc>
          <w:tcPr>
            <w:tcW w:w="3980" w:type="dxa"/>
            <w:vAlign w:val="bottom"/>
            <w:tcBorders>
              <w:bottom w:val="single" w:sz="8" w:color="auto"/>
            </w:tcBorders>
          </w:tcPr>
          <w:p>
            <w:pPr>
              <w:spacing w:after="0"/>
              <w:rPr>
                <w:sz w:val="6"/>
                <w:szCs w:val="6"/>
                <w:color w:val="auto"/>
              </w:rPr>
            </w:pPr>
          </w:p>
        </w:tc>
        <w:tc>
          <w:tcPr>
            <w:tcW w:w="3380" w:type="dxa"/>
            <w:vAlign w:val="bottom"/>
            <w:tcBorders>
              <w:bottom w:val="single" w:sz="8" w:color="auto"/>
            </w:tcBorders>
          </w:tcPr>
          <w:p>
            <w:pPr>
              <w:spacing w:after="0"/>
              <w:rPr>
                <w:sz w:val="6"/>
                <w:szCs w:val="6"/>
                <w:color w:val="auto"/>
              </w:rPr>
            </w:pPr>
          </w:p>
        </w:tc>
        <w:tc>
          <w:tcPr>
            <w:tcW w:w="3940" w:type="dxa"/>
            <w:vAlign w:val="bottom"/>
            <w:tcBorders>
              <w:bottom w:val="single" w:sz="8" w:color="auto"/>
            </w:tcBorders>
          </w:tcPr>
          <w:p>
            <w:pPr>
              <w:spacing w:after="0"/>
              <w:rPr>
                <w:sz w:val="6"/>
                <w:szCs w:val="6"/>
                <w:color w:val="auto"/>
              </w:rPr>
            </w:pPr>
          </w:p>
        </w:tc>
      </w:tr>
      <w:tr>
        <w:trPr>
          <w:trHeight w:val="126"/>
        </w:trPr>
        <w:tc>
          <w:tcPr>
            <w:tcW w:w="3980" w:type="dxa"/>
            <w:vAlign w:val="bottom"/>
            <w:tcBorders>
              <w:left w:val="single" w:sz="8" w:color="auto"/>
              <w:bottom w:val="single" w:sz="8" w:color="auto"/>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color w:val="auto"/>
                <w:w w:val="98"/>
              </w:rPr>
              <w:t>Title of each class</w:t>
            </w:r>
          </w:p>
        </w:tc>
        <w:tc>
          <w:tcPr>
            <w:tcW w:w="3380" w:type="dxa"/>
            <w:vAlign w:val="bottom"/>
            <w:tcBorders>
              <w:bottom w:val="single" w:sz="8" w:color="auto"/>
              <w:right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color w:val="auto"/>
                <w:w w:val="98"/>
              </w:rPr>
              <w:t>Trading Symbol(s)</w:t>
            </w:r>
          </w:p>
        </w:tc>
        <w:tc>
          <w:tcPr>
            <w:tcW w:w="3940" w:type="dxa"/>
            <w:vAlign w:val="bottom"/>
            <w:tcBorders>
              <w:bottom w:val="single" w:sz="8" w:color="auto"/>
              <w:right w:val="single" w:sz="8" w:color="auto"/>
            </w:tcBorders>
          </w:tcPr>
          <w:p>
            <w:pPr>
              <w:ind w:left="860"/>
              <w:spacing w:after="0" w:line="126" w:lineRule="exact"/>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15"/>
        </w:trPr>
        <w:tc>
          <w:tcPr>
            <w:tcW w:w="3980" w:type="dxa"/>
            <w:vAlign w:val="bottom"/>
            <w:tcBorders>
              <w:left w:val="single" w:sz="8" w:color="auto"/>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9"/>
              </w:rPr>
              <w:t>Common Stock, par value $0.005 per share</w:t>
            </w:r>
          </w:p>
        </w:tc>
        <w:tc>
          <w:tcPr>
            <w:tcW w:w="3380" w:type="dxa"/>
            <w:vAlign w:val="bottom"/>
            <w:tcBorders>
              <w:bottom w:val="single" w:sz="8" w:color="auto"/>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2"/>
                <w:szCs w:val="12"/>
                <w:color w:val="auto"/>
                <w:w w:val="97"/>
              </w:rPr>
              <w:t>KOSS</w:t>
            </w:r>
          </w:p>
        </w:tc>
        <w:tc>
          <w:tcPr>
            <w:tcW w:w="3940" w:type="dxa"/>
            <w:vAlign w:val="bottom"/>
            <w:tcBorders>
              <w:bottom w:val="single" w:sz="8" w:color="auto"/>
              <w:right w:val="single" w:sz="8" w:color="auto"/>
            </w:tcBorders>
          </w:tcPr>
          <w:p>
            <w:pPr>
              <w:ind w:left="1380"/>
              <w:spacing w:after="0" w:line="115" w:lineRule="exact"/>
              <w:rPr>
                <w:sz w:val="20"/>
                <w:szCs w:val="20"/>
                <w:color w:val="auto"/>
              </w:rPr>
            </w:pPr>
            <w:r>
              <w:rPr>
                <w:rFonts w:ascii="Times New Roman" w:cs="Times New Roman" w:eastAsia="Times New Roman" w:hAnsi="Times New Roman"/>
                <w:sz w:val="12"/>
                <w:szCs w:val="12"/>
                <w:color w:val="auto"/>
              </w:rPr>
              <w:t>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7172325</wp:posOffset>
            </wp:positionH>
            <wp:positionV relativeFrom="paragraph">
              <wp:posOffset>-187960</wp:posOffset>
            </wp:positionV>
            <wp:extent cx="57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1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-187960</wp:posOffset>
            </wp:positionV>
            <wp:extent cx="57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 cy="17145"/>
                    </a:xfrm>
                    <a:prstGeom prst="rect">
                      <a:avLst/>
                    </a:prstGeom>
                    <a:noFill/>
                  </pic:spPr>
                </pic:pic>
              </a:graphicData>
            </a:graphic>
          </wp:anchor>
        </w:drawing>
      </w:r>
    </w:p>
    <w:p>
      <w:pPr>
        <w:spacing w:after="0" w:line="149" w:lineRule="exact"/>
        <w:rPr>
          <w:sz w:val="24"/>
          <w:szCs w:val="24"/>
          <w:color w:val="auto"/>
        </w:rPr>
      </w:pPr>
    </w:p>
    <w:p>
      <w:pPr>
        <w:jc w:val="both"/>
        <w:ind w:left="8" w:right="20" w:firstLine="216"/>
        <w:spacing w:after="0" w:line="15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 w:lineRule="exact"/>
        <w:rPr>
          <w:sz w:val="24"/>
          <w:szCs w:val="24"/>
          <w:color w:val="auto"/>
        </w:rPr>
      </w:pPr>
    </w:p>
    <w:p>
      <w:pPr>
        <w:ind w:left="8" w:right="40" w:firstLine="216"/>
        <w:spacing w:after="0" w:line="15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7" w:lineRule="exact"/>
        <w:rPr>
          <w:sz w:val="24"/>
          <w:szCs w:val="24"/>
          <w:color w:val="auto"/>
        </w:rPr>
      </w:pPr>
    </w:p>
    <w:p>
      <w:pPr>
        <w:ind w:left="8" w:right="220" w:firstLine="216"/>
        <w:spacing w:after="0" w:line="248"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08"/>
          </w:cols>
          <w:pgMar w:left="292" w:top="192" w:right="299" w:bottom="1440" w:gutter="0" w:footer="0" w:header="0"/>
        </w:sectPr>
      </w:pPr>
    </w:p>
    <w:p>
      <w:pPr>
        <w:spacing w:after="0" w:line="19" w:lineRule="exact"/>
        <w:rPr>
          <w:sz w:val="24"/>
          <w:szCs w:val="24"/>
          <w:color w:val="auto"/>
        </w:rPr>
      </w:pPr>
    </w:p>
    <w:p>
      <w:pPr>
        <w:ind w:left="2108"/>
        <w:spacing w:after="0" w:line="127"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27" w:lineRule="exact"/>
        <w:rPr>
          <w:sz w:val="20"/>
          <w:szCs w:val="20"/>
          <w:color w:val="auto"/>
        </w:rPr>
      </w:pPr>
      <w:r>
        <w:rPr>
          <w:rFonts w:ascii="Times New Roman" w:cs="Times New Roman" w:eastAsia="Times New Roman" w:hAnsi="Times New Roman"/>
          <w:sz w:val="11"/>
          <w:szCs w:val="11"/>
          <w:color w:val="auto"/>
        </w:rPr>
        <w:t xml:space="preserve">Accelerated filer </w:t>
      </w:r>
      <w:r>
        <w:rPr>
          <w:rFonts w:ascii="MS PGothic" w:cs="MS PGothic" w:eastAsia="MS PGothic" w:hAnsi="MS PGothic"/>
          <w:sz w:val="11"/>
          <w:szCs w:val="11"/>
          <w:color w:val="auto"/>
        </w:rPr>
        <w:t>☐</w:t>
      </w:r>
    </w:p>
    <w:p>
      <w:pPr>
        <w:spacing w:after="0" w:line="126" w:lineRule="exact"/>
        <w:rPr>
          <w:sz w:val="24"/>
          <w:szCs w:val="24"/>
          <w:color w:val="auto"/>
        </w:rPr>
      </w:pPr>
    </w:p>
    <w:p>
      <w:pPr>
        <w:sectPr>
          <w:pgSz w:w="11900" w:h="16838" w:orient="portrait"/>
          <w:cols w:equalWidth="0" w:num="2">
            <w:col w:w="7408" w:space="720"/>
            <w:col w:w="3180"/>
          </w:cols>
          <w:pgMar w:left="292" w:top="192" w:right="299" w:bottom="1440" w:gutter="0" w:footer="0" w:header="0"/>
          <w:type w:val="continuous"/>
        </w:sectPr>
      </w:pPr>
    </w:p>
    <w:p>
      <w:pPr>
        <w:ind w:left="2128"/>
        <w:spacing w:after="0" w:line="127" w:lineRule="exact"/>
        <w:rPr>
          <w:sz w:val="20"/>
          <w:szCs w:val="20"/>
          <w:color w:val="auto"/>
        </w:rPr>
      </w:pPr>
      <w:r>
        <w:rPr>
          <w:rFonts w:ascii="Times New Roman" w:cs="Times New Roman" w:eastAsia="Times New Roman" w:hAnsi="Times New Roman"/>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Times New Roman" w:cs="Times New Roman" w:eastAsia="Times New Roman" w:hAnsi="Times New Roman"/>
          <w:sz w:val="11"/>
          <w:szCs w:val="11"/>
          <w:color w:val="auto"/>
        </w:rPr>
        <w:t xml:space="preserve">Smaller reporting company </w:t>
      </w:r>
      <w:r>
        <w:rPr>
          <w:rFonts w:ascii="MS PGothic" w:cs="MS PGothic" w:eastAsia="MS PGothic" w:hAnsi="MS PGothic"/>
          <w:sz w:val="11"/>
          <w:szCs w:val="11"/>
          <w:color w:val="auto"/>
        </w:rPr>
        <w:t>☑</w:t>
      </w:r>
    </w:p>
    <w:p>
      <w:pPr>
        <w:spacing w:after="0" w:line="126" w:lineRule="exact"/>
        <w:rPr>
          <w:sz w:val="24"/>
          <w:szCs w:val="24"/>
          <w:color w:val="auto"/>
        </w:rPr>
      </w:pPr>
    </w:p>
    <w:p>
      <w:pPr>
        <w:sectPr>
          <w:pgSz w:w="11900" w:h="16838" w:orient="portrait"/>
          <w:cols w:equalWidth="0" w:num="2">
            <w:col w:w="7148" w:space="720"/>
            <w:col w:w="3440"/>
          </w:cols>
          <w:pgMar w:left="292" w:top="192" w:right="299" w:bottom="1440" w:gutter="0" w:footer="0" w:header="0"/>
          <w:type w:val="continuous"/>
        </w:sectPr>
      </w:pPr>
    </w:p>
    <w:p>
      <w:pPr>
        <w:ind w:left="7868"/>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ectPr>
          <w:pgSz w:w="11900" w:h="16838" w:orient="portrait"/>
          <w:cols w:equalWidth="0" w:num="1">
            <w:col w:w="11308"/>
          </w:cols>
          <w:pgMar w:left="292" w:top="192" w:right="299" w:bottom="1440" w:gutter="0" w:footer="0" w:header="0"/>
          <w:type w:val="continuous"/>
        </w:sectPr>
      </w:pPr>
    </w:p>
    <w:p>
      <w:pPr>
        <w:spacing w:after="0" w:line="226" w:lineRule="exact"/>
        <w:rPr>
          <w:sz w:val="24"/>
          <w:szCs w:val="24"/>
          <w:color w:val="auto"/>
        </w:rPr>
      </w:pPr>
    </w:p>
    <w:p>
      <w:pPr>
        <w:ind w:left="8" w:right="20" w:firstLine="216"/>
        <w:spacing w:after="0" w:line="14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 w:lineRule="exact"/>
        <w:rPr>
          <w:sz w:val="24"/>
          <w:szCs w:val="24"/>
          <w:color w:val="auto"/>
        </w:rPr>
      </w:pPr>
    </w:p>
    <w:p>
      <w:pPr>
        <w:ind w:left="208" w:right="4920"/>
        <w:spacing w:after="0" w:line="184"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At May 6, 2024, there were 9,254,795 shares outstanding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245110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92"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5"/>
              </w:rPr>
              <w:t>Table of Contents</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80" w:type="dxa"/>
            <w:vAlign w:val="bottom"/>
          </w:tcPr>
          <w:p>
            <w:pPr>
              <w:spacing w:after="0"/>
              <w:rPr>
                <w:sz w:val="12"/>
                <w:szCs w:val="12"/>
                <w:color w:val="auto"/>
              </w:rPr>
            </w:pPr>
          </w:p>
        </w:tc>
      </w:tr>
      <w:tr>
        <w:trPr>
          <w:trHeight w:val="374"/>
        </w:trPr>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20" w:type="dxa"/>
            <w:vAlign w:val="bottom"/>
            <w:gridSpan w:val="6"/>
          </w:tcPr>
          <w:p>
            <w:pPr>
              <w:jc w:val="center"/>
              <w:ind w:right="2520"/>
              <w:spacing w:after="0"/>
              <w:rPr>
                <w:sz w:val="20"/>
                <w:szCs w:val="20"/>
                <w:color w:val="auto"/>
              </w:rPr>
            </w:pPr>
            <w:r>
              <w:rPr>
                <w:rFonts w:ascii="Times New Roman" w:cs="Times New Roman" w:eastAsia="Times New Roman" w:hAnsi="Times New Roman"/>
                <w:sz w:val="12"/>
                <w:szCs w:val="12"/>
                <w:color w:val="auto"/>
                <w:w w:val="99"/>
              </w:rPr>
              <w:t>KOSS CORPORATION</w:t>
            </w:r>
          </w:p>
        </w:tc>
        <w:tc>
          <w:tcPr>
            <w:tcW w:w="2080" w:type="dxa"/>
            <w:vAlign w:val="bottom"/>
          </w:tcPr>
          <w:p>
            <w:pPr>
              <w:spacing w:after="0"/>
              <w:rPr>
                <w:sz w:val="24"/>
                <w:szCs w:val="24"/>
                <w:color w:val="auto"/>
              </w:rPr>
            </w:pPr>
          </w:p>
        </w:tc>
      </w:tr>
      <w:tr>
        <w:trPr>
          <w:trHeight w:val="126"/>
        </w:trPr>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20" w:type="dxa"/>
            <w:vAlign w:val="bottom"/>
            <w:gridSpan w:val="6"/>
          </w:tcPr>
          <w:p>
            <w:pPr>
              <w:jc w:val="center"/>
              <w:ind w:right="2520"/>
              <w:spacing w:after="0" w:line="126" w:lineRule="exact"/>
              <w:rPr>
                <w:sz w:val="20"/>
                <w:szCs w:val="20"/>
                <w:color w:val="auto"/>
              </w:rPr>
            </w:pPr>
            <w:r>
              <w:rPr>
                <w:rFonts w:ascii="Times New Roman" w:cs="Times New Roman" w:eastAsia="Times New Roman" w:hAnsi="Times New Roman"/>
                <w:sz w:val="12"/>
                <w:szCs w:val="12"/>
                <w:color w:val="auto"/>
              </w:rPr>
              <w:t>FORM 10-Q</w:t>
            </w:r>
          </w:p>
        </w:tc>
        <w:tc>
          <w:tcPr>
            <w:tcW w:w="2080" w:type="dxa"/>
            <w:vAlign w:val="bottom"/>
          </w:tcPr>
          <w:p>
            <w:pPr>
              <w:spacing w:after="0"/>
              <w:rPr>
                <w:sz w:val="10"/>
                <w:szCs w:val="10"/>
                <w:color w:val="auto"/>
              </w:rPr>
            </w:pPr>
          </w:p>
        </w:tc>
      </w:tr>
      <w:tr>
        <w:trPr>
          <w:trHeight w:val="155"/>
        </w:trPr>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20" w:type="dxa"/>
            <w:vAlign w:val="bottom"/>
            <w:gridSpan w:val="6"/>
          </w:tcPr>
          <w:p>
            <w:pPr>
              <w:jc w:val="center"/>
              <w:ind w:right="2540"/>
              <w:spacing w:after="0"/>
              <w:rPr>
                <w:sz w:val="20"/>
                <w:szCs w:val="20"/>
                <w:color w:val="auto"/>
              </w:rPr>
            </w:pPr>
            <w:r>
              <w:rPr>
                <w:rFonts w:ascii="Times New Roman" w:cs="Times New Roman" w:eastAsia="Times New Roman" w:hAnsi="Times New Roman"/>
                <w:sz w:val="12"/>
                <w:szCs w:val="12"/>
                <w:color w:val="auto"/>
                <w:w w:val="99"/>
              </w:rPr>
              <w:t>March 31, 2024</w:t>
            </w:r>
          </w:p>
        </w:tc>
        <w:tc>
          <w:tcPr>
            <w:tcW w:w="2080" w:type="dxa"/>
            <w:vAlign w:val="bottom"/>
          </w:tcPr>
          <w:p>
            <w:pPr>
              <w:spacing w:after="0"/>
              <w:rPr>
                <w:sz w:val="13"/>
                <w:szCs w:val="13"/>
                <w:color w:val="auto"/>
              </w:rPr>
            </w:pPr>
          </w:p>
        </w:tc>
      </w:tr>
      <w:tr>
        <w:trPr>
          <w:trHeight w:val="261"/>
        </w:trPr>
        <w:tc>
          <w:tcPr>
            <w:tcW w:w="3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20" w:type="dxa"/>
            <w:vAlign w:val="bottom"/>
            <w:gridSpan w:val="6"/>
          </w:tcPr>
          <w:p>
            <w:pPr>
              <w:jc w:val="center"/>
              <w:ind w:right="2520"/>
              <w:spacing w:after="0"/>
              <w:rPr>
                <w:sz w:val="20"/>
                <w:szCs w:val="20"/>
                <w:color w:val="auto"/>
              </w:rPr>
            </w:pPr>
            <w:r>
              <w:rPr>
                <w:rFonts w:ascii="Times New Roman" w:cs="Times New Roman" w:eastAsia="Times New Roman" w:hAnsi="Times New Roman"/>
                <w:sz w:val="12"/>
                <w:szCs w:val="12"/>
                <w:color w:val="auto"/>
              </w:rPr>
              <w:t>INDEX</w:t>
            </w:r>
          </w:p>
        </w:tc>
        <w:tc>
          <w:tcPr>
            <w:tcW w:w="2080" w:type="dxa"/>
            <w:vAlign w:val="bottom"/>
          </w:tcPr>
          <w:p>
            <w:pPr>
              <w:spacing w:after="0"/>
              <w:rPr>
                <w:sz w:val="22"/>
                <w:szCs w:val="22"/>
                <w:color w:val="auto"/>
              </w:rPr>
            </w:pPr>
          </w:p>
        </w:tc>
      </w:tr>
      <w:tr>
        <w:trPr>
          <w:trHeight w:val="270"/>
        </w:trPr>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080" w:type="dxa"/>
            <w:vAlign w:val="bottom"/>
          </w:tcPr>
          <w:p>
            <w:pPr>
              <w:ind w:left="1480"/>
              <w:spacing w:after="0"/>
              <w:rPr>
                <w:sz w:val="20"/>
                <w:szCs w:val="20"/>
                <w:color w:val="auto"/>
              </w:rPr>
            </w:pPr>
            <w:r>
              <w:rPr>
                <w:rFonts w:ascii="Times New Roman" w:cs="Times New Roman" w:eastAsia="Times New Roman" w:hAnsi="Times New Roman"/>
                <w:sz w:val="12"/>
                <w:szCs w:val="12"/>
                <w:color w:val="auto"/>
              </w:rPr>
              <w:t>Page</w:t>
            </w:r>
          </w:p>
        </w:tc>
      </w:tr>
      <w:tr>
        <w:trPr>
          <w:trHeight w:val="117"/>
        </w:trPr>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2080" w:type="dxa"/>
            <w:vAlign w:val="bottom"/>
          </w:tcPr>
          <w:p>
            <w:pPr>
              <w:spacing w:after="0"/>
              <w:rPr>
                <w:sz w:val="10"/>
                <w:szCs w:val="10"/>
                <w:color w:val="auto"/>
              </w:rPr>
            </w:pPr>
          </w:p>
        </w:tc>
      </w:tr>
      <w:tr>
        <w:trPr>
          <w:trHeight w:val="108"/>
        </w:trPr>
        <w:tc>
          <w:tcPr>
            <w:tcW w:w="360" w:type="dxa"/>
            <w:vAlign w:val="bottom"/>
            <w:tcBorders>
              <w:bottom w:val="single" w:sz="8" w:color="0000FF"/>
            </w:tcBorders>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0000FF"/>
                <w:w w:val="90"/>
              </w:rPr>
              <w:t>PART I</w:t>
            </w:r>
          </w:p>
        </w:tc>
        <w:tc>
          <w:tcPr>
            <w:tcW w:w="500" w:type="dxa"/>
            <w:vAlign w:val="bottom"/>
            <w:tcBorders>
              <w:bottom w:val="single" w:sz="8" w:color="CCEEFF"/>
              <w:right w:val="single" w:sz="8" w:color="CCEEFF"/>
            </w:tcBorders>
            <w:gridSpan w:val="2"/>
            <w:shd w:val="clear" w:color="auto" w:fill="CCEEFF"/>
          </w:tcPr>
          <w:p>
            <w:pPr>
              <w:spacing w:after="0"/>
              <w:rPr>
                <w:sz w:val="9"/>
                <w:szCs w:val="9"/>
                <w:color w:val="auto"/>
              </w:rPr>
            </w:pPr>
          </w:p>
        </w:tc>
        <w:tc>
          <w:tcPr>
            <w:tcW w:w="1500" w:type="dxa"/>
            <w:vAlign w:val="bottom"/>
            <w:tcBorders>
              <w:bottom w:val="single" w:sz="8" w:color="0000FF"/>
              <w:right w:val="single" w:sz="8" w:color="CCEEFF"/>
            </w:tcBorders>
            <w:gridSpan w:val="6"/>
            <w:shd w:val="clear" w:color="auto" w:fill="CCEEFF"/>
          </w:tcPr>
          <w:p>
            <w:pPr>
              <w:spacing w:after="0" w:line="108" w:lineRule="exact"/>
              <w:rPr>
                <w:sz w:val="20"/>
                <w:szCs w:val="20"/>
                <w:color w:val="auto"/>
              </w:rPr>
            </w:pPr>
            <w:r>
              <w:rPr>
                <w:rFonts w:ascii="Times New Roman" w:cs="Times New Roman" w:eastAsia="Times New Roman" w:hAnsi="Times New Roman"/>
                <w:sz w:val="12"/>
                <w:szCs w:val="12"/>
                <w:color w:val="0000FF"/>
                <w:w w:val="96"/>
              </w:rPr>
              <w:t>FINANCIAL INFORMATION</w:t>
            </w:r>
          </w:p>
        </w:tc>
        <w:tc>
          <w:tcPr>
            <w:tcW w:w="6860" w:type="dxa"/>
            <w:vAlign w:val="bottom"/>
            <w:tcBorders>
              <w:bottom w:val="single" w:sz="8" w:color="CCEEFF"/>
            </w:tcBorders>
            <w:gridSpan w:val="11"/>
            <w:shd w:val="clear" w:color="auto" w:fill="CCEEFF"/>
          </w:tcPr>
          <w:p>
            <w:pPr>
              <w:spacing w:after="0"/>
              <w:rPr>
                <w:sz w:val="9"/>
                <w:szCs w:val="9"/>
                <w:color w:val="auto"/>
              </w:rPr>
            </w:pPr>
          </w:p>
        </w:tc>
        <w:tc>
          <w:tcPr>
            <w:tcW w:w="2080" w:type="dxa"/>
            <w:vAlign w:val="bottom"/>
            <w:tcBorders>
              <w:bottom w:val="single" w:sz="8" w:color="CCEEFF"/>
            </w:tcBorders>
            <w:shd w:val="clear" w:color="auto" w:fill="CCEEFF"/>
          </w:tcPr>
          <w:p>
            <w:pPr>
              <w:jc w:val="center"/>
              <w:ind w:left="1080"/>
              <w:spacing w:after="0" w:line="108" w:lineRule="exact"/>
              <w:rPr>
                <w:sz w:val="20"/>
                <w:szCs w:val="20"/>
                <w:color w:val="auto"/>
              </w:rPr>
            </w:pPr>
            <w:r>
              <w:rPr>
                <w:rFonts w:ascii="Times New Roman" w:cs="Times New Roman" w:eastAsia="Times New Roman" w:hAnsi="Times New Roman"/>
                <w:sz w:val="12"/>
                <w:szCs w:val="12"/>
                <w:color w:val="auto"/>
                <w:w w:val="99"/>
              </w:rPr>
              <w:t>3</w:t>
            </w:r>
          </w:p>
        </w:tc>
      </w:tr>
      <w:tr>
        <w:trPr>
          <w:trHeight w:val="106"/>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0000FF"/>
            </w:tcBorders>
          </w:tcPr>
          <w:p>
            <w:pPr>
              <w:spacing w:after="0" w:line="106" w:lineRule="exact"/>
              <w:rPr>
                <w:sz w:val="20"/>
                <w:szCs w:val="20"/>
                <w:color w:val="auto"/>
              </w:rPr>
            </w:pPr>
            <w:r>
              <w:rPr>
                <w:rFonts w:ascii="Times New Roman" w:cs="Times New Roman" w:eastAsia="Times New Roman" w:hAnsi="Times New Roman"/>
                <w:sz w:val="12"/>
                <w:szCs w:val="12"/>
                <w:color w:val="0000FF"/>
                <w:w w:val="93"/>
              </w:rPr>
              <w:t>Item 1.</w:t>
            </w:r>
          </w:p>
        </w:tc>
        <w:tc>
          <w:tcPr>
            <w:tcW w:w="500" w:type="dxa"/>
            <w:vAlign w:val="bottom"/>
            <w:gridSpan w:val="2"/>
          </w:tcPr>
          <w:p>
            <w:pPr>
              <w:spacing w:after="0"/>
              <w:rPr>
                <w:sz w:val="9"/>
                <w:szCs w:val="9"/>
                <w:color w:val="auto"/>
              </w:rPr>
            </w:pPr>
          </w:p>
        </w:tc>
        <w:tc>
          <w:tcPr>
            <w:tcW w:w="1620" w:type="dxa"/>
            <w:vAlign w:val="bottom"/>
            <w:tcBorders>
              <w:bottom w:val="single" w:sz="8" w:color="0000FF"/>
            </w:tcBorders>
            <w:gridSpan w:val="6"/>
          </w:tcPr>
          <w:p>
            <w:pPr>
              <w:spacing w:after="0" w:line="106" w:lineRule="exact"/>
              <w:rPr>
                <w:sz w:val="20"/>
                <w:szCs w:val="20"/>
                <w:color w:val="auto"/>
              </w:rPr>
            </w:pPr>
            <w:r>
              <w:rPr>
                <w:rFonts w:ascii="Times New Roman" w:cs="Times New Roman" w:eastAsia="Times New Roman" w:hAnsi="Times New Roman"/>
                <w:sz w:val="12"/>
                <w:szCs w:val="12"/>
                <w:color w:val="0000FF"/>
                <w:w w:val="99"/>
              </w:rPr>
              <w:t>Financial Statements (Unaudited)</w:t>
            </w:r>
          </w:p>
        </w:tc>
        <w:tc>
          <w:tcPr>
            <w:tcW w:w="5900" w:type="dxa"/>
            <w:vAlign w:val="bottom"/>
            <w:gridSpan w:val="8"/>
          </w:tcPr>
          <w:p>
            <w:pPr>
              <w:spacing w:after="0"/>
              <w:rPr>
                <w:sz w:val="9"/>
                <w:szCs w:val="9"/>
                <w:color w:val="auto"/>
              </w:rPr>
            </w:pPr>
          </w:p>
        </w:tc>
        <w:tc>
          <w:tcPr>
            <w:tcW w:w="2080" w:type="dxa"/>
            <w:vAlign w:val="bottom"/>
          </w:tcPr>
          <w:p>
            <w:pPr>
              <w:jc w:val="center"/>
              <w:ind w:left="1080"/>
              <w:spacing w:after="0" w:line="106" w:lineRule="exact"/>
              <w:rPr>
                <w:sz w:val="20"/>
                <w:szCs w:val="20"/>
                <w:color w:val="auto"/>
              </w:rPr>
            </w:pPr>
            <w:r>
              <w:rPr>
                <w:rFonts w:ascii="Times New Roman" w:cs="Times New Roman" w:eastAsia="Times New Roman" w:hAnsi="Times New Roman"/>
                <w:sz w:val="12"/>
                <w:szCs w:val="12"/>
                <w:color w:val="auto"/>
                <w:w w:val="99"/>
              </w:rPr>
              <w:t>3</w:t>
            </w:r>
          </w:p>
        </w:tc>
      </w:tr>
      <w:tr>
        <w:trPr>
          <w:trHeight w:val="106"/>
        </w:trPr>
        <w:tc>
          <w:tcPr>
            <w:tcW w:w="3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460" w:type="dxa"/>
            <w:vAlign w:val="bottom"/>
            <w:tcBorders>
              <w:bottom w:val="single" w:sz="8" w:color="CCEEFF"/>
              <w:right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3920" w:type="dxa"/>
            <w:vAlign w:val="bottom"/>
            <w:tcBorders>
              <w:bottom w:val="single" w:sz="8" w:color="0000FF"/>
            </w:tcBorders>
            <w:gridSpan w:val="9"/>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w w:val="99"/>
              </w:rPr>
              <w:t>Condensed Consolidated Balance Sheets as of March 31, 2024 and June 30, 2023</w:t>
            </w:r>
          </w:p>
        </w:tc>
        <w:tc>
          <w:tcPr>
            <w:tcW w:w="3600" w:type="dxa"/>
            <w:vAlign w:val="bottom"/>
            <w:tcBorders>
              <w:bottom w:val="single" w:sz="8" w:color="CCEEFF"/>
            </w:tcBorders>
            <w:gridSpan w:val="5"/>
            <w:shd w:val="clear" w:color="auto" w:fill="CCEEFF"/>
          </w:tcPr>
          <w:p>
            <w:pPr>
              <w:spacing w:after="0"/>
              <w:rPr>
                <w:sz w:val="9"/>
                <w:szCs w:val="9"/>
                <w:color w:val="auto"/>
              </w:rPr>
            </w:pPr>
          </w:p>
        </w:tc>
        <w:tc>
          <w:tcPr>
            <w:tcW w:w="2080" w:type="dxa"/>
            <w:vAlign w:val="bottom"/>
            <w:tcBorders>
              <w:bottom w:val="single" w:sz="8" w:color="CCEEFF"/>
            </w:tcBorders>
            <w:shd w:val="clear" w:color="auto" w:fill="CCEEFF"/>
          </w:tcPr>
          <w:p>
            <w:pPr>
              <w:jc w:val="center"/>
              <w:ind w:left="1080"/>
              <w:spacing w:after="0" w:line="106" w:lineRule="exact"/>
              <w:rPr>
                <w:sz w:val="20"/>
                <w:szCs w:val="20"/>
                <w:color w:val="auto"/>
              </w:rPr>
            </w:pPr>
            <w:r>
              <w:rPr>
                <w:rFonts w:ascii="Times New Roman" w:cs="Times New Roman" w:eastAsia="Times New Roman" w:hAnsi="Times New Roman"/>
                <w:sz w:val="12"/>
                <w:szCs w:val="12"/>
                <w:color w:val="auto"/>
                <w:w w:val="99"/>
              </w:rPr>
              <w:t>3</w:t>
            </w:r>
          </w:p>
        </w:tc>
      </w:tr>
      <w:tr>
        <w:trPr>
          <w:trHeight w:val="106"/>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520" w:type="dxa"/>
            <w:vAlign w:val="bottom"/>
            <w:gridSpan w:val="14"/>
          </w:tcPr>
          <w:p>
            <w:pPr>
              <w:spacing w:after="0" w:line="106" w:lineRule="exact"/>
              <w:rPr>
                <w:sz w:val="20"/>
                <w:szCs w:val="20"/>
                <w:color w:val="auto"/>
              </w:rPr>
            </w:pPr>
            <w:r>
              <w:rPr>
                <w:rFonts w:ascii="Times New Roman" w:cs="Times New Roman" w:eastAsia="Times New Roman" w:hAnsi="Times New Roman"/>
                <w:sz w:val="12"/>
                <w:szCs w:val="12"/>
                <w:color w:val="0000FF"/>
              </w:rPr>
              <w:t>Condensed Consolidated Statements of Operations for the Three and Nine months ended March 31, 2024 and 2023</w:t>
            </w:r>
          </w:p>
        </w:tc>
        <w:tc>
          <w:tcPr>
            <w:tcW w:w="2080" w:type="dxa"/>
            <w:vAlign w:val="bottom"/>
          </w:tcPr>
          <w:p>
            <w:pPr>
              <w:jc w:val="center"/>
              <w:ind w:left="1080"/>
              <w:spacing w:after="0" w:line="106" w:lineRule="exact"/>
              <w:rPr>
                <w:sz w:val="20"/>
                <w:szCs w:val="20"/>
                <w:color w:val="auto"/>
              </w:rPr>
            </w:pPr>
            <w:r>
              <w:rPr>
                <w:rFonts w:ascii="Times New Roman" w:cs="Times New Roman" w:eastAsia="Times New Roman" w:hAnsi="Times New Roman"/>
                <w:sz w:val="12"/>
                <w:szCs w:val="12"/>
                <w:color w:val="auto"/>
                <w:w w:val="99"/>
              </w:rPr>
              <w:t>4</w:t>
            </w:r>
          </w:p>
        </w:tc>
      </w:tr>
      <w:tr>
        <w:trPr>
          <w:trHeight w:val="106"/>
        </w:trPr>
        <w:tc>
          <w:tcPr>
            <w:tcW w:w="3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460" w:type="dxa"/>
            <w:vAlign w:val="bottom"/>
            <w:tcBorders>
              <w:bottom w:val="single" w:sz="8" w:color="CCEEFF"/>
              <w:right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420" w:type="dxa"/>
            <w:vAlign w:val="bottom"/>
            <w:tcBorders>
              <w:bottom w:val="single" w:sz="8" w:color="CCEEFF"/>
            </w:tcBorders>
            <w:shd w:val="clear" w:color="auto" w:fill="CCEEFF"/>
          </w:tcPr>
          <w:p>
            <w:pPr>
              <w:spacing w:after="0"/>
              <w:rPr>
                <w:sz w:val="9"/>
                <w:szCs w:val="9"/>
                <w:color w:val="auto"/>
              </w:rPr>
            </w:pPr>
          </w:p>
        </w:tc>
        <w:tc>
          <w:tcPr>
            <w:tcW w:w="5060" w:type="dxa"/>
            <w:vAlign w:val="bottom"/>
            <w:tcBorders>
              <w:top w:val="single" w:sz="8" w:color="0000FF"/>
              <w:bottom w:val="single" w:sz="8" w:color="0000FF"/>
            </w:tcBorders>
            <w:gridSpan w:val="11"/>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w w:val="99"/>
              </w:rPr>
              <w:t>Condensed Consolidated Statements of Cash Flows for the Nine months ended March 31, 2024 and 2023</w:t>
            </w:r>
          </w:p>
        </w:tc>
        <w:tc>
          <w:tcPr>
            <w:tcW w:w="460" w:type="dxa"/>
            <w:vAlign w:val="bottom"/>
            <w:tcBorders>
              <w:top w:val="single" w:sz="8" w:color="0000FF"/>
              <w:bottom w:val="single" w:sz="8" w:color="CCEEFF"/>
            </w:tcBorders>
            <w:shd w:val="clear" w:color="auto" w:fill="CCEEFF"/>
          </w:tcPr>
          <w:p>
            <w:pPr>
              <w:spacing w:after="0"/>
              <w:rPr>
                <w:sz w:val="9"/>
                <w:szCs w:val="9"/>
                <w:color w:val="auto"/>
              </w:rPr>
            </w:pPr>
          </w:p>
        </w:tc>
        <w:tc>
          <w:tcPr>
            <w:tcW w:w="2000" w:type="dxa"/>
            <w:vAlign w:val="bottom"/>
            <w:tcBorders>
              <w:bottom w:val="single" w:sz="8" w:color="CCEEFF"/>
            </w:tcBorders>
            <w:gridSpan w:val="2"/>
            <w:shd w:val="clear" w:color="auto" w:fill="CCEEFF"/>
          </w:tcPr>
          <w:p>
            <w:pPr>
              <w:spacing w:after="0"/>
              <w:rPr>
                <w:sz w:val="9"/>
                <w:szCs w:val="9"/>
                <w:color w:val="auto"/>
              </w:rPr>
            </w:pPr>
          </w:p>
        </w:tc>
        <w:tc>
          <w:tcPr>
            <w:tcW w:w="2080" w:type="dxa"/>
            <w:vAlign w:val="bottom"/>
            <w:tcBorders>
              <w:bottom w:val="single" w:sz="8" w:color="CCEEFF"/>
            </w:tcBorders>
            <w:shd w:val="clear" w:color="auto" w:fill="CCEEFF"/>
          </w:tcPr>
          <w:p>
            <w:pPr>
              <w:jc w:val="center"/>
              <w:ind w:left="1080"/>
              <w:spacing w:after="0" w:line="106" w:lineRule="exact"/>
              <w:rPr>
                <w:sz w:val="20"/>
                <w:szCs w:val="20"/>
                <w:color w:val="auto"/>
              </w:rPr>
            </w:pPr>
            <w:r>
              <w:rPr>
                <w:rFonts w:ascii="Times New Roman" w:cs="Times New Roman" w:eastAsia="Times New Roman" w:hAnsi="Times New Roman"/>
                <w:sz w:val="12"/>
                <w:szCs w:val="12"/>
                <w:color w:val="auto"/>
                <w:w w:val="99"/>
              </w:rPr>
              <w:t>5</w:t>
            </w:r>
          </w:p>
        </w:tc>
      </w:tr>
      <w:tr>
        <w:trPr>
          <w:trHeight w:val="106"/>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20" w:type="dxa"/>
            <w:vAlign w:val="bottom"/>
            <w:tcBorders>
              <w:bottom w:val="single" w:sz="8" w:color="0000FF"/>
            </w:tcBorders>
            <w:gridSpan w:val="13"/>
          </w:tcPr>
          <w:p>
            <w:pPr>
              <w:spacing w:after="0" w:line="106" w:lineRule="exact"/>
              <w:rPr>
                <w:sz w:val="20"/>
                <w:szCs w:val="20"/>
                <w:color w:val="auto"/>
              </w:rPr>
            </w:pPr>
            <w:r>
              <w:rPr>
                <w:rFonts w:ascii="Times New Roman" w:cs="Times New Roman" w:eastAsia="Times New Roman" w:hAnsi="Times New Roman"/>
                <w:sz w:val="12"/>
                <w:szCs w:val="12"/>
                <w:color w:val="0000FF"/>
                <w:w w:val="99"/>
              </w:rPr>
              <w:t>Condensed Consolidated Statements of Stockholders’ Equity for the Three and Nine months ended March 31, 2024 and 2023</w:t>
            </w:r>
          </w:p>
        </w:tc>
        <w:tc>
          <w:tcPr>
            <w:tcW w:w="1500" w:type="dxa"/>
            <w:vAlign w:val="bottom"/>
          </w:tcPr>
          <w:p>
            <w:pPr>
              <w:spacing w:after="0"/>
              <w:rPr>
                <w:sz w:val="9"/>
                <w:szCs w:val="9"/>
                <w:color w:val="auto"/>
              </w:rPr>
            </w:pPr>
          </w:p>
        </w:tc>
        <w:tc>
          <w:tcPr>
            <w:tcW w:w="2080" w:type="dxa"/>
            <w:vAlign w:val="bottom"/>
          </w:tcPr>
          <w:p>
            <w:pPr>
              <w:jc w:val="center"/>
              <w:ind w:left="1080"/>
              <w:spacing w:after="0" w:line="106" w:lineRule="exact"/>
              <w:rPr>
                <w:sz w:val="20"/>
                <w:szCs w:val="20"/>
                <w:color w:val="auto"/>
              </w:rPr>
            </w:pPr>
            <w:r>
              <w:rPr>
                <w:rFonts w:ascii="Times New Roman" w:cs="Times New Roman" w:eastAsia="Times New Roman" w:hAnsi="Times New Roman"/>
                <w:sz w:val="12"/>
                <w:szCs w:val="12"/>
                <w:color w:val="auto"/>
                <w:w w:val="99"/>
              </w:rPr>
              <w:t>6</w:t>
            </w:r>
          </w:p>
        </w:tc>
      </w:tr>
      <w:tr>
        <w:trPr>
          <w:trHeight w:val="106"/>
        </w:trPr>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7520" w:type="dxa"/>
            <w:vAlign w:val="bottom"/>
            <w:gridSpan w:val="14"/>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rPr>
              <w:t>Notes to Condensed Consolidated Financial Statements</w:t>
            </w:r>
          </w:p>
        </w:tc>
        <w:tc>
          <w:tcPr>
            <w:tcW w:w="2080" w:type="dxa"/>
            <w:vAlign w:val="bottom"/>
            <w:shd w:val="clear" w:color="auto" w:fill="CCEEFF"/>
          </w:tcPr>
          <w:p>
            <w:pPr>
              <w:jc w:val="center"/>
              <w:ind w:left="1080"/>
              <w:spacing w:after="0" w:line="106" w:lineRule="exact"/>
              <w:rPr>
                <w:sz w:val="20"/>
                <w:szCs w:val="20"/>
                <w:color w:val="auto"/>
              </w:rPr>
            </w:pPr>
            <w:r>
              <w:rPr>
                <w:rFonts w:ascii="Times New Roman" w:cs="Times New Roman" w:eastAsia="Times New Roman" w:hAnsi="Times New Roman"/>
                <w:sz w:val="12"/>
                <w:szCs w:val="12"/>
                <w:color w:val="auto"/>
                <w:w w:val="99"/>
              </w:rPr>
              <w:t>7</w:t>
            </w:r>
          </w:p>
        </w:tc>
      </w:tr>
      <w:tr>
        <w:trPr>
          <w:trHeight w:val="20"/>
        </w:trPr>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r>
      <w:tr>
        <w:trPr>
          <w:trHeight w:val="106"/>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0000FF"/>
            </w:tcBorders>
          </w:tcPr>
          <w:p>
            <w:pPr>
              <w:spacing w:after="0" w:line="106" w:lineRule="exact"/>
              <w:rPr>
                <w:sz w:val="20"/>
                <w:szCs w:val="20"/>
                <w:color w:val="auto"/>
              </w:rPr>
            </w:pPr>
            <w:r>
              <w:rPr>
                <w:rFonts w:ascii="Times New Roman" w:cs="Times New Roman" w:eastAsia="Times New Roman" w:hAnsi="Times New Roman"/>
                <w:sz w:val="12"/>
                <w:szCs w:val="12"/>
                <w:color w:val="0000FF"/>
                <w:w w:val="93"/>
              </w:rPr>
              <w:t>Item 2.</w:t>
            </w:r>
          </w:p>
        </w:tc>
        <w:tc>
          <w:tcPr>
            <w:tcW w:w="500" w:type="dxa"/>
            <w:vAlign w:val="bottom"/>
            <w:gridSpan w:val="2"/>
          </w:tcPr>
          <w:p>
            <w:pPr>
              <w:spacing w:after="0"/>
              <w:rPr>
                <w:sz w:val="9"/>
                <w:szCs w:val="9"/>
                <w:color w:val="auto"/>
              </w:rPr>
            </w:pPr>
          </w:p>
        </w:tc>
        <w:tc>
          <w:tcPr>
            <w:tcW w:w="4300" w:type="dxa"/>
            <w:vAlign w:val="bottom"/>
            <w:tcBorders>
              <w:bottom w:val="single" w:sz="8" w:color="0000FF"/>
            </w:tcBorders>
            <w:gridSpan w:val="10"/>
          </w:tcPr>
          <w:p>
            <w:pPr>
              <w:spacing w:after="0" w:line="106" w:lineRule="exact"/>
              <w:rPr>
                <w:sz w:val="20"/>
                <w:szCs w:val="20"/>
                <w:color w:val="auto"/>
              </w:rPr>
            </w:pPr>
            <w:r>
              <w:rPr>
                <w:rFonts w:ascii="Times New Roman" w:cs="Times New Roman" w:eastAsia="Times New Roman" w:hAnsi="Times New Roman"/>
                <w:sz w:val="12"/>
                <w:szCs w:val="12"/>
                <w:color w:val="0000FF"/>
                <w:w w:val="99"/>
              </w:rPr>
              <w:t>Management's Discussion and Analysis of Financial Condition and Results of Operations</w:t>
            </w:r>
          </w:p>
        </w:tc>
        <w:tc>
          <w:tcPr>
            <w:tcW w:w="3220" w:type="dxa"/>
            <w:vAlign w:val="bottom"/>
            <w:gridSpan w:val="4"/>
          </w:tcPr>
          <w:p>
            <w:pPr>
              <w:spacing w:after="0"/>
              <w:rPr>
                <w:sz w:val="9"/>
                <w:szCs w:val="9"/>
                <w:color w:val="auto"/>
              </w:rPr>
            </w:pPr>
          </w:p>
        </w:tc>
        <w:tc>
          <w:tcPr>
            <w:tcW w:w="2080" w:type="dxa"/>
            <w:vAlign w:val="bottom"/>
          </w:tcPr>
          <w:p>
            <w:pPr>
              <w:jc w:val="center"/>
              <w:ind w:left="1060"/>
              <w:spacing w:after="0" w:line="106" w:lineRule="exact"/>
              <w:rPr>
                <w:sz w:val="20"/>
                <w:szCs w:val="20"/>
                <w:color w:val="auto"/>
              </w:rPr>
            </w:pPr>
            <w:r>
              <w:rPr>
                <w:rFonts w:ascii="Times New Roman" w:cs="Times New Roman" w:eastAsia="Times New Roman" w:hAnsi="Times New Roman"/>
                <w:sz w:val="12"/>
                <w:szCs w:val="12"/>
                <w:color w:val="auto"/>
                <w:w w:val="99"/>
              </w:rPr>
              <w:t>16</w:t>
            </w:r>
          </w:p>
        </w:tc>
      </w:tr>
      <w:tr>
        <w:trPr>
          <w:trHeight w:val="106"/>
        </w:trPr>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w w:val="93"/>
              </w:rPr>
              <w:t>Item 3.</w:t>
            </w:r>
          </w:p>
        </w:tc>
        <w:tc>
          <w:tcPr>
            <w:tcW w:w="500" w:type="dxa"/>
            <w:vAlign w:val="bottom"/>
            <w:gridSpan w:val="2"/>
            <w:shd w:val="clear" w:color="auto" w:fill="CCEEFF"/>
          </w:tcPr>
          <w:p>
            <w:pPr>
              <w:spacing w:after="0"/>
              <w:rPr>
                <w:sz w:val="9"/>
                <w:szCs w:val="9"/>
                <w:color w:val="auto"/>
              </w:rPr>
            </w:pPr>
          </w:p>
        </w:tc>
        <w:tc>
          <w:tcPr>
            <w:tcW w:w="7520" w:type="dxa"/>
            <w:vAlign w:val="bottom"/>
            <w:gridSpan w:val="14"/>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rPr>
              <w:t>Quantitative and Qualitative Disclosures About Market Risk</w:t>
            </w:r>
          </w:p>
        </w:tc>
        <w:tc>
          <w:tcPr>
            <w:tcW w:w="2080" w:type="dxa"/>
            <w:vAlign w:val="bottom"/>
            <w:shd w:val="clear" w:color="auto" w:fill="CCEEFF"/>
          </w:tcPr>
          <w:p>
            <w:pPr>
              <w:jc w:val="center"/>
              <w:ind w:left="1060"/>
              <w:spacing w:after="0" w:line="106" w:lineRule="exact"/>
              <w:rPr>
                <w:sz w:val="20"/>
                <w:szCs w:val="20"/>
                <w:color w:val="auto"/>
              </w:rPr>
            </w:pPr>
            <w:r>
              <w:rPr>
                <w:rFonts w:ascii="Times New Roman" w:cs="Times New Roman" w:eastAsia="Times New Roman" w:hAnsi="Times New Roman"/>
                <w:sz w:val="12"/>
                <w:szCs w:val="12"/>
                <w:color w:val="auto"/>
                <w:w w:val="99"/>
              </w:rPr>
              <w:t>22</w:t>
            </w:r>
          </w:p>
        </w:tc>
      </w:tr>
      <w:tr>
        <w:trPr>
          <w:trHeight w:val="106"/>
        </w:trPr>
        <w:tc>
          <w:tcPr>
            <w:tcW w:w="36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460" w:type="dxa"/>
            <w:vAlign w:val="bottom"/>
            <w:tcBorders>
              <w:top w:val="single" w:sz="8" w:color="CCEEFF"/>
            </w:tcBorders>
          </w:tcPr>
          <w:p>
            <w:pPr>
              <w:spacing w:after="0"/>
              <w:rPr>
                <w:sz w:val="9"/>
                <w:szCs w:val="9"/>
                <w:color w:val="auto"/>
              </w:rPr>
            </w:pPr>
          </w:p>
        </w:tc>
        <w:tc>
          <w:tcPr>
            <w:tcW w:w="340" w:type="dxa"/>
            <w:vAlign w:val="bottom"/>
            <w:tcBorders>
              <w:top w:val="single" w:sz="8" w:color="0000FF"/>
            </w:tcBorders>
          </w:tcPr>
          <w:p>
            <w:pPr>
              <w:spacing w:after="0" w:line="106" w:lineRule="exact"/>
              <w:rPr>
                <w:sz w:val="20"/>
                <w:szCs w:val="20"/>
                <w:color w:val="auto"/>
              </w:rPr>
            </w:pPr>
            <w:r>
              <w:rPr>
                <w:rFonts w:ascii="Times New Roman" w:cs="Times New Roman" w:eastAsia="Times New Roman" w:hAnsi="Times New Roman"/>
                <w:sz w:val="12"/>
                <w:szCs w:val="12"/>
                <w:color w:val="0000FF"/>
                <w:w w:val="93"/>
              </w:rPr>
              <w:t>Item 4.</w:t>
            </w:r>
          </w:p>
        </w:tc>
        <w:tc>
          <w:tcPr>
            <w:tcW w:w="500" w:type="dxa"/>
            <w:vAlign w:val="bottom"/>
            <w:tcBorders>
              <w:top w:val="single" w:sz="8" w:color="CCEEFF"/>
            </w:tcBorders>
            <w:gridSpan w:val="2"/>
          </w:tcPr>
          <w:p>
            <w:pPr>
              <w:spacing w:after="0"/>
              <w:rPr>
                <w:sz w:val="9"/>
                <w:szCs w:val="9"/>
                <w:color w:val="auto"/>
              </w:rPr>
            </w:pPr>
          </w:p>
        </w:tc>
        <w:tc>
          <w:tcPr>
            <w:tcW w:w="2900" w:type="dxa"/>
            <w:vAlign w:val="bottom"/>
            <w:tcBorders>
              <w:top w:val="single" w:sz="8" w:color="0000FF"/>
            </w:tcBorders>
            <w:gridSpan w:val="8"/>
          </w:tcPr>
          <w:p>
            <w:pPr>
              <w:spacing w:after="0" w:line="106" w:lineRule="exact"/>
              <w:rPr>
                <w:sz w:val="20"/>
                <w:szCs w:val="20"/>
                <w:color w:val="auto"/>
              </w:rPr>
            </w:pPr>
            <w:r>
              <w:rPr>
                <w:rFonts w:ascii="Times New Roman" w:cs="Times New Roman" w:eastAsia="Times New Roman" w:hAnsi="Times New Roman"/>
                <w:sz w:val="12"/>
                <w:szCs w:val="12"/>
                <w:color w:val="0000FF"/>
              </w:rPr>
              <w:t>Controls and Procedures</w:t>
            </w:r>
          </w:p>
        </w:tc>
        <w:tc>
          <w:tcPr>
            <w:tcW w:w="4620" w:type="dxa"/>
            <w:vAlign w:val="bottom"/>
            <w:tcBorders>
              <w:top w:val="single" w:sz="8" w:color="CCEEFF"/>
            </w:tcBorders>
            <w:gridSpan w:val="6"/>
          </w:tcPr>
          <w:p>
            <w:pPr>
              <w:spacing w:after="0"/>
              <w:rPr>
                <w:sz w:val="9"/>
                <w:szCs w:val="9"/>
                <w:color w:val="auto"/>
              </w:rPr>
            </w:pPr>
          </w:p>
        </w:tc>
        <w:tc>
          <w:tcPr>
            <w:tcW w:w="2080" w:type="dxa"/>
            <w:vAlign w:val="bottom"/>
            <w:tcBorders>
              <w:top w:val="single" w:sz="8" w:color="CCEEFF"/>
            </w:tcBorders>
          </w:tcPr>
          <w:p>
            <w:pPr>
              <w:jc w:val="center"/>
              <w:ind w:left="1060"/>
              <w:spacing w:after="0" w:line="106" w:lineRule="exact"/>
              <w:rPr>
                <w:sz w:val="20"/>
                <w:szCs w:val="20"/>
                <w:color w:val="auto"/>
              </w:rPr>
            </w:pPr>
            <w:r>
              <w:rPr>
                <w:rFonts w:ascii="Times New Roman" w:cs="Times New Roman" w:eastAsia="Times New Roman" w:hAnsi="Times New Roman"/>
                <w:sz w:val="12"/>
                <w:szCs w:val="12"/>
                <w:color w:val="auto"/>
                <w:w w:val="99"/>
              </w:rPr>
              <w:t>22</w:t>
            </w:r>
          </w:p>
        </w:tc>
      </w:tr>
      <w:tr>
        <w:trPr>
          <w:trHeight w:val="20"/>
        </w:trPr>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106"/>
        </w:trPr>
        <w:tc>
          <w:tcPr>
            <w:tcW w:w="400" w:type="dxa"/>
            <w:vAlign w:val="bottom"/>
            <w:tcBorders>
              <w:bottom w:val="single" w:sz="8" w:color="0000FF"/>
            </w:tcBorders>
            <w:gridSpan w:val="2"/>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w w:val="91"/>
              </w:rPr>
              <w:t>PART II</w:t>
            </w:r>
          </w:p>
        </w:tc>
        <w:tc>
          <w:tcPr>
            <w:tcW w:w="460" w:type="dxa"/>
            <w:vAlign w:val="bottom"/>
            <w:tcBorders>
              <w:bottom w:val="single" w:sz="8" w:color="CCEEFF"/>
              <w:right w:val="single" w:sz="8" w:color="CCEEFF"/>
            </w:tcBorders>
            <w:shd w:val="clear" w:color="auto" w:fill="CCEEFF"/>
          </w:tcPr>
          <w:p>
            <w:pPr>
              <w:spacing w:after="0"/>
              <w:rPr>
                <w:sz w:val="9"/>
                <w:szCs w:val="9"/>
                <w:color w:val="auto"/>
              </w:rPr>
            </w:pPr>
          </w:p>
        </w:tc>
        <w:tc>
          <w:tcPr>
            <w:tcW w:w="1260" w:type="dxa"/>
            <w:vAlign w:val="bottom"/>
            <w:tcBorders>
              <w:bottom w:val="single" w:sz="8" w:color="0000FF"/>
            </w:tcBorders>
            <w:gridSpan w:val="5"/>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w w:val="97"/>
              </w:rPr>
              <w:t>OTHER INFORMATION</w:t>
            </w:r>
          </w:p>
        </w:tc>
        <w:tc>
          <w:tcPr>
            <w:tcW w:w="7100" w:type="dxa"/>
            <w:vAlign w:val="bottom"/>
            <w:tcBorders>
              <w:bottom w:val="single" w:sz="8" w:color="CCEEFF"/>
            </w:tcBorders>
            <w:gridSpan w:val="12"/>
            <w:shd w:val="clear" w:color="auto" w:fill="CCEEFF"/>
          </w:tcPr>
          <w:p>
            <w:pPr>
              <w:spacing w:after="0"/>
              <w:rPr>
                <w:sz w:val="9"/>
                <w:szCs w:val="9"/>
                <w:color w:val="auto"/>
              </w:rPr>
            </w:pPr>
          </w:p>
        </w:tc>
        <w:tc>
          <w:tcPr>
            <w:tcW w:w="2080" w:type="dxa"/>
            <w:vAlign w:val="bottom"/>
            <w:tcBorders>
              <w:bottom w:val="single" w:sz="8" w:color="CCEEFF"/>
            </w:tcBorders>
            <w:shd w:val="clear" w:color="auto" w:fill="CCEEFF"/>
          </w:tcPr>
          <w:p>
            <w:pPr>
              <w:jc w:val="center"/>
              <w:ind w:left="1060"/>
              <w:spacing w:after="0" w:line="106" w:lineRule="exact"/>
              <w:rPr>
                <w:sz w:val="20"/>
                <w:szCs w:val="20"/>
                <w:color w:val="auto"/>
              </w:rPr>
            </w:pPr>
            <w:r>
              <w:rPr>
                <w:rFonts w:ascii="Times New Roman" w:cs="Times New Roman" w:eastAsia="Times New Roman" w:hAnsi="Times New Roman"/>
                <w:sz w:val="12"/>
                <w:szCs w:val="12"/>
                <w:color w:val="auto"/>
                <w:w w:val="99"/>
              </w:rPr>
              <w:t>22</w:t>
            </w:r>
          </w:p>
        </w:tc>
      </w:tr>
      <w:tr>
        <w:trPr>
          <w:trHeight w:val="106"/>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0000FF"/>
            </w:tcBorders>
          </w:tcPr>
          <w:p>
            <w:pPr>
              <w:spacing w:after="0" w:line="106" w:lineRule="exact"/>
              <w:rPr>
                <w:sz w:val="20"/>
                <w:szCs w:val="20"/>
                <w:color w:val="auto"/>
              </w:rPr>
            </w:pPr>
            <w:r>
              <w:rPr>
                <w:rFonts w:ascii="Times New Roman" w:cs="Times New Roman" w:eastAsia="Times New Roman" w:hAnsi="Times New Roman"/>
                <w:sz w:val="12"/>
                <w:szCs w:val="12"/>
                <w:color w:val="0000FF"/>
                <w:w w:val="93"/>
              </w:rPr>
              <w:t>Item 1.</w:t>
            </w:r>
          </w:p>
        </w:tc>
        <w:tc>
          <w:tcPr>
            <w:tcW w:w="500" w:type="dxa"/>
            <w:vAlign w:val="bottom"/>
            <w:gridSpan w:val="2"/>
          </w:tcPr>
          <w:p>
            <w:pPr>
              <w:spacing w:after="0"/>
              <w:rPr>
                <w:sz w:val="9"/>
                <w:szCs w:val="9"/>
                <w:color w:val="auto"/>
              </w:rPr>
            </w:pPr>
          </w:p>
        </w:tc>
        <w:tc>
          <w:tcPr>
            <w:tcW w:w="900" w:type="dxa"/>
            <w:vAlign w:val="bottom"/>
            <w:tcBorders>
              <w:bottom w:val="single" w:sz="8" w:color="0000FF"/>
            </w:tcBorders>
            <w:gridSpan w:val="4"/>
          </w:tcPr>
          <w:p>
            <w:pPr>
              <w:spacing w:after="0" w:line="106" w:lineRule="exact"/>
              <w:rPr>
                <w:sz w:val="20"/>
                <w:szCs w:val="20"/>
                <w:color w:val="auto"/>
              </w:rPr>
            </w:pPr>
            <w:r>
              <w:rPr>
                <w:rFonts w:ascii="Times New Roman" w:cs="Times New Roman" w:eastAsia="Times New Roman" w:hAnsi="Times New Roman"/>
                <w:sz w:val="12"/>
                <w:szCs w:val="12"/>
                <w:color w:val="0000FF"/>
                <w:w w:val="98"/>
              </w:rPr>
              <w:t>Legal Proceedings</w:t>
            </w:r>
          </w:p>
        </w:tc>
        <w:tc>
          <w:tcPr>
            <w:tcW w:w="6620" w:type="dxa"/>
            <w:vAlign w:val="bottom"/>
            <w:gridSpan w:val="10"/>
          </w:tcPr>
          <w:p>
            <w:pPr>
              <w:spacing w:after="0"/>
              <w:rPr>
                <w:sz w:val="9"/>
                <w:szCs w:val="9"/>
                <w:color w:val="auto"/>
              </w:rPr>
            </w:pPr>
          </w:p>
        </w:tc>
        <w:tc>
          <w:tcPr>
            <w:tcW w:w="2080" w:type="dxa"/>
            <w:vAlign w:val="bottom"/>
          </w:tcPr>
          <w:p>
            <w:pPr>
              <w:jc w:val="center"/>
              <w:ind w:left="1060"/>
              <w:spacing w:after="0" w:line="106" w:lineRule="exact"/>
              <w:rPr>
                <w:sz w:val="20"/>
                <w:szCs w:val="20"/>
                <w:color w:val="auto"/>
              </w:rPr>
            </w:pPr>
            <w:r>
              <w:rPr>
                <w:rFonts w:ascii="Times New Roman" w:cs="Times New Roman" w:eastAsia="Times New Roman" w:hAnsi="Times New Roman"/>
                <w:sz w:val="12"/>
                <w:szCs w:val="12"/>
                <w:color w:val="auto"/>
                <w:w w:val="99"/>
              </w:rPr>
              <w:t>22</w:t>
            </w:r>
          </w:p>
        </w:tc>
      </w:tr>
      <w:tr>
        <w:trPr>
          <w:trHeight w:val="106"/>
        </w:trPr>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840" w:type="dxa"/>
            <w:vAlign w:val="bottom"/>
            <w:gridSpan w:val="3"/>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rPr>
              <w:t>Item 1A.</w:t>
            </w:r>
          </w:p>
        </w:tc>
        <w:tc>
          <w:tcPr>
            <w:tcW w:w="7520" w:type="dxa"/>
            <w:vAlign w:val="bottom"/>
            <w:gridSpan w:val="14"/>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rPr>
              <w:t>Risk Factors</w:t>
            </w:r>
          </w:p>
        </w:tc>
        <w:tc>
          <w:tcPr>
            <w:tcW w:w="2080" w:type="dxa"/>
            <w:vAlign w:val="bottom"/>
            <w:shd w:val="clear" w:color="auto" w:fill="CCEEFF"/>
          </w:tcPr>
          <w:p>
            <w:pPr>
              <w:jc w:val="center"/>
              <w:ind w:left="1060"/>
              <w:spacing w:after="0" w:line="106" w:lineRule="exact"/>
              <w:rPr>
                <w:sz w:val="20"/>
                <w:szCs w:val="20"/>
                <w:color w:val="auto"/>
              </w:rPr>
            </w:pPr>
            <w:r>
              <w:rPr>
                <w:rFonts w:ascii="Times New Roman" w:cs="Times New Roman" w:eastAsia="Times New Roman" w:hAnsi="Times New Roman"/>
                <w:sz w:val="12"/>
                <w:szCs w:val="12"/>
                <w:color w:val="auto"/>
                <w:w w:val="99"/>
              </w:rPr>
              <w:t>22</w:t>
            </w:r>
          </w:p>
        </w:tc>
      </w:tr>
      <w:tr>
        <w:trPr>
          <w:trHeight w:val="20"/>
        </w:trPr>
        <w:tc>
          <w:tcPr>
            <w:tcW w:w="3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CCEEFF"/>
            </w:tcBorders>
            <w:shd w:val="clear" w:color="auto" w:fill="0000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2080" w:type="dxa"/>
            <w:vAlign w:val="bottom"/>
            <w:shd w:val="clear" w:color="auto" w:fill="CCEEFF"/>
          </w:tcPr>
          <w:p>
            <w:pPr>
              <w:spacing w:after="0" w:line="20" w:lineRule="exact"/>
              <w:rPr>
                <w:sz w:val="1"/>
                <w:szCs w:val="1"/>
                <w:color w:val="auto"/>
              </w:rPr>
            </w:pPr>
          </w:p>
        </w:tc>
      </w:tr>
      <w:tr>
        <w:trPr>
          <w:trHeight w:val="106"/>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Borders>
              <w:bottom w:val="single" w:sz="8" w:color="0000FF"/>
            </w:tcBorders>
          </w:tcPr>
          <w:p>
            <w:pPr>
              <w:spacing w:after="0" w:line="106" w:lineRule="exact"/>
              <w:rPr>
                <w:sz w:val="20"/>
                <w:szCs w:val="20"/>
                <w:color w:val="auto"/>
              </w:rPr>
            </w:pPr>
            <w:r>
              <w:rPr>
                <w:rFonts w:ascii="Times New Roman" w:cs="Times New Roman" w:eastAsia="Times New Roman" w:hAnsi="Times New Roman"/>
                <w:sz w:val="12"/>
                <w:szCs w:val="12"/>
                <w:color w:val="0000FF"/>
                <w:w w:val="93"/>
              </w:rPr>
              <w:t>Item 2.</w:t>
            </w: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900" w:type="dxa"/>
            <w:vAlign w:val="bottom"/>
            <w:tcBorders>
              <w:bottom w:val="single" w:sz="8" w:color="0000FF"/>
            </w:tcBorders>
            <w:gridSpan w:val="8"/>
          </w:tcPr>
          <w:p>
            <w:pPr>
              <w:spacing w:after="0" w:line="106" w:lineRule="exact"/>
              <w:rPr>
                <w:sz w:val="20"/>
                <w:szCs w:val="20"/>
                <w:color w:val="auto"/>
              </w:rPr>
            </w:pPr>
            <w:r>
              <w:rPr>
                <w:rFonts w:ascii="Times New Roman" w:cs="Times New Roman" w:eastAsia="Times New Roman" w:hAnsi="Times New Roman"/>
                <w:sz w:val="12"/>
                <w:szCs w:val="12"/>
                <w:color w:val="0000FF"/>
                <w:w w:val="99"/>
              </w:rPr>
              <w:t>Unregistered Sales of Equity Securities and Use of Proceeds</w:t>
            </w:r>
          </w:p>
        </w:tc>
        <w:tc>
          <w:tcPr>
            <w:tcW w:w="4620" w:type="dxa"/>
            <w:vAlign w:val="bottom"/>
            <w:gridSpan w:val="6"/>
          </w:tcPr>
          <w:p>
            <w:pPr>
              <w:spacing w:after="0"/>
              <w:rPr>
                <w:sz w:val="9"/>
                <w:szCs w:val="9"/>
                <w:color w:val="auto"/>
              </w:rPr>
            </w:pPr>
          </w:p>
        </w:tc>
        <w:tc>
          <w:tcPr>
            <w:tcW w:w="2080" w:type="dxa"/>
            <w:vAlign w:val="bottom"/>
          </w:tcPr>
          <w:p>
            <w:pPr>
              <w:jc w:val="center"/>
              <w:ind w:left="1060"/>
              <w:spacing w:after="0" w:line="106" w:lineRule="exact"/>
              <w:rPr>
                <w:sz w:val="20"/>
                <w:szCs w:val="20"/>
                <w:color w:val="auto"/>
              </w:rPr>
            </w:pPr>
            <w:r>
              <w:rPr>
                <w:rFonts w:ascii="Times New Roman" w:cs="Times New Roman" w:eastAsia="Times New Roman" w:hAnsi="Times New Roman"/>
                <w:sz w:val="12"/>
                <w:szCs w:val="12"/>
                <w:color w:val="auto"/>
                <w:w w:val="99"/>
              </w:rPr>
              <w:t>23</w:t>
            </w:r>
          </w:p>
        </w:tc>
      </w:tr>
      <w:tr>
        <w:trPr>
          <w:trHeight w:val="106"/>
        </w:trPr>
        <w:tc>
          <w:tcPr>
            <w:tcW w:w="36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460" w:type="dxa"/>
            <w:vAlign w:val="bottom"/>
            <w:tcBorders>
              <w:right w:val="single" w:sz="8" w:color="CCEEFF"/>
            </w:tcBorders>
            <w:shd w:val="clear" w:color="auto" w:fill="CCEEFF"/>
          </w:tcPr>
          <w:p>
            <w:pPr>
              <w:spacing w:after="0"/>
              <w:rPr>
                <w:sz w:val="9"/>
                <w:szCs w:val="9"/>
                <w:color w:val="auto"/>
              </w:rPr>
            </w:pPr>
          </w:p>
        </w:tc>
        <w:tc>
          <w:tcPr>
            <w:tcW w:w="3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w w:val="93"/>
              </w:rPr>
              <w:t>Item 6.</w:t>
            </w:r>
          </w:p>
        </w:tc>
        <w:tc>
          <w:tcPr>
            <w:tcW w:w="500" w:type="dxa"/>
            <w:vAlign w:val="bottom"/>
            <w:gridSpan w:val="2"/>
            <w:shd w:val="clear" w:color="auto" w:fill="CCEEFF"/>
          </w:tcPr>
          <w:p>
            <w:pPr>
              <w:spacing w:after="0"/>
              <w:rPr>
                <w:sz w:val="9"/>
                <w:szCs w:val="9"/>
                <w:color w:val="auto"/>
              </w:rPr>
            </w:pPr>
          </w:p>
        </w:tc>
        <w:tc>
          <w:tcPr>
            <w:tcW w:w="7520" w:type="dxa"/>
            <w:vAlign w:val="bottom"/>
            <w:gridSpan w:val="14"/>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rPr>
              <w:t>Exhibits</w:t>
            </w:r>
          </w:p>
        </w:tc>
        <w:tc>
          <w:tcPr>
            <w:tcW w:w="2080" w:type="dxa"/>
            <w:vAlign w:val="bottom"/>
            <w:shd w:val="clear" w:color="auto" w:fill="CCEEFF"/>
          </w:tcPr>
          <w:p>
            <w:pPr>
              <w:jc w:val="center"/>
              <w:ind w:left="1060"/>
              <w:spacing w:after="0" w:line="106" w:lineRule="exact"/>
              <w:rPr>
                <w:sz w:val="20"/>
                <w:szCs w:val="20"/>
                <w:color w:val="auto"/>
              </w:rPr>
            </w:pPr>
            <w:r>
              <w:rPr>
                <w:rFonts w:ascii="Times New Roman" w:cs="Times New Roman" w:eastAsia="Times New Roman" w:hAnsi="Times New Roman"/>
                <w:sz w:val="12"/>
                <w:szCs w:val="12"/>
                <w:color w:val="auto"/>
                <w:w w:val="99"/>
              </w:rPr>
              <w:t>24</w:t>
            </w:r>
          </w:p>
        </w:tc>
      </w:tr>
      <w:tr>
        <w:trPr>
          <w:trHeight w:val="520"/>
        </w:trPr>
        <w:tc>
          <w:tcPr>
            <w:tcW w:w="3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900" w:type="dxa"/>
            <w:vAlign w:val="bottom"/>
            <w:tcBorders>
              <w:top w:val="single" w:sz="8" w:color="CCEEFF"/>
            </w:tcBorders>
            <w:gridSpan w:val="9"/>
          </w:tcPr>
          <w:p>
            <w:pPr>
              <w:jc w:val="center"/>
              <w:ind w:left="3140"/>
              <w:spacing w:after="0"/>
              <w:rPr>
                <w:sz w:val="20"/>
                <w:szCs w:val="20"/>
                <w:color w:val="auto"/>
              </w:rPr>
            </w:pPr>
            <w:r>
              <w:rPr>
                <w:rFonts w:ascii="Times New Roman" w:cs="Times New Roman" w:eastAsia="Times New Roman" w:hAnsi="Times New Roman"/>
                <w:sz w:val="12"/>
                <w:szCs w:val="12"/>
                <w:color w:val="auto"/>
                <w:w w:val="99"/>
              </w:rPr>
              <w:t>2</w:t>
            </w:r>
          </w:p>
        </w:tc>
        <w:tc>
          <w:tcPr>
            <w:tcW w:w="76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r>
      <w:tr>
        <w:trPr>
          <w:trHeight w:val="333"/>
        </w:trPr>
        <w:tc>
          <w:tcPr>
            <w:tcW w:w="3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38"/>
        </w:trPr>
        <w:tc>
          <w:tcPr>
            <w:tcW w:w="780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370"/>
        </w:trPr>
        <w:tc>
          <w:tcPr>
            <w:tcW w:w="840" w:type="dxa"/>
            <w:vAlign w:val="bottom"/>
            <w:tcBorders>
              <w:top w:val="single" w:sz="8" w:color="0000FF"/>
            </w:tcBorders>
          </w:tcPr>
          <w:p>
            <w:pPr>
              <w:spacing w:after="0"/>
              <w:rPr>
                <w:sz w:val="24"/>
                <w:szCs w:val="24"/>
                <w:color w:val="auto"/>
              </w:rPr>
            </w:pPr>
          </w:p>
        </w:tc>
        <w:tc>
          <w:tcPr>
            <w:tcW w:w="6960" w:type="dxa"/>
            <w:vAlign w:val="bottom"/>
          </w:tcPr>
          <w:p>
            <w:pPr>
              <w:jc w:val="center"/>
              <w:ind w:left="2580"/>
              <w:spacing w:after="0"/>
              <w:rPr>
                <w:sz w:val="20"/>
                <w:szCs w:val="20"/>
                <w:color w:val="auto"/>
              </w:rPr>
            </w:pPr>
            <w:r>
              <w:rPr>
                <w:rFonts w:ascii="Times New Roman" w:cs="Times New Roman" w:eastAsia="Times New Roman" w:hAnsi="Times New Roman"/>
                <w:sz w:val="12"/>
                <w:szCs w:val="12"/>
                <w:b w:val="1"/>
                <w:bCs w:val="1"/>
                <w:color w:val="auto"/>
                <w:w w:val="99"/>
              </w:rPr>
              <w:t>PART I</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26"/>
        </w:trPr>
        <w:tc>
          <w:tcPr>
            <w:tcW w:w="840" w:type="dxa"/>
            <w:vAlign w:val="bottom"/>
          </w:tcPr>
          <w:p>
            <w:pPr>
              <w:spacing w:after="0"/>
              <w:rPr>
                <w:sz w:val="10"/>
                <w:szCs w:val="10"/>
                <w:color w:val="auto"/>
              </w:rPr>
            </w:pPr>
          </w:p>
        </w:tc>
        <w:tc>
          <w:tcPr>
            <w:tcW w:w="6960" w:type="dxa"/>
            <w:vAlign w:val="bottom"/>
          </w:tcPr>
          <w:p>
            <w:pPr>
              <w:jc w:val="center"/>
              <w:ind w:left="2580"/>
              <w:spacing w:after="0" w:line="126" w:lineRule="exact"/>
              <w:rPr>
                <w:sz w:val="20"/>
                <w:szCs w:val="20"/>
                <w:color w:val="auto"/>
              </w:rPr>
            </w:pPr>
            <w:r>
              <w:rPr>
                <w:rFonts w:ascii="Times New Roman" w:cs="Times New Roman" w:eastAsia="Times New Roman" w:hAnsi="Times New Roman"/>
                <w:sz w:val="12"/>
                <w:szCs w:val="12"/>
                <w:b w:val="1"/>
                <w:bCs w:val="1"/>
                <w:color w:val="auto"/>
                <w:w w:val="99"/>
              </w:rPr>
              <w:t>FINANCIAL INFORMATION</w:t>
            </w:r>
          </w:p>
        </w:tc>
        <w:tc>
          <w:tcPr>
            <w:tcW w:w="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59"/>
        </w:trPr>
        <w:tc>
          <w:tcPr>
            <w:tcW w:w="78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1.  Financial Statements</w:t>
            </w: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32"/>
        </w:trPr>
        <w:tc>
          <w:tcPr>
            <w:tcW w:w="7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KOSS CORPORATION</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155"/>
        </w:trPr>
        <w:tc>
          <w:tcPr>
            <w:tcW w:w="7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CONDENSED CONSOLIDATED BALANCE SHEETS (Unaudited)</w:t>
            </w:r>
          </w:p>
        </w:tc>
        <w:tc>
          <w:tcPr>
            <w:tcW w:w="2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96"/>
        </w:trPr>
        <w:tc>
          <w:tcPr>
            <w:tcW w:w="8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240" w:type="dxa"/>
            <w:vAlign w:val="bottom"/>
          </w:tcPr>
          <w:p>
            <w:pPr>
              <w:spacing w:after="0"/>
              <w:rPr>
                <w:sz w:val="24"/>
                <w:szCs w:val="24"/>
                <w:color w:val="auto"/>
              </w:rPr>
            </w:pPr>
          </w:p>
        </w:tc>
        <w:tc>
          <w:tcPr>
            <w:tcW w:w="1280" w:type="dxa"/>
            <w:vAlign w:val="bottom"/>
          </w:tcPr>
          <w:p>
            <w:pPr>
              <w:jc w:val="right"/>
              <w:ind w:right="360"/>
              <w:spacing w:after="0"/>
              <w:rPr>
                <w:sz w:val="20"/>
                <w:szCs w:val="20"/>
                <w:color w:val="auto"/>
              </w:rPr>
            </w:pPr>
            <w:r>
              <w:rPr>
                <w:rFonts w:ascii="Times New Roman" w:cs="Times New Roman" w:eastAsia="Times New Roman" w:hAnsi="Times New Roman"/>
                <w:sz w:val="12"/>
                <w:szCs w:val="12"/>
                <w:b w:val="1"/>
                <w:bCs w:val="1"/>
                <w:color w:val="auto"/>
              </w:rPr>
              <w:t>June 30, 2023</w:t>
            </w:r>
          </w:p>
        </w:tc>
      </w:tr>
      <w:tr>
        <w:trPr>
          <w:trHeight w:val="115"/>
        </w:trPr>
        <w:tc>
          <w:tcPr>
            <w:tcW w:w="780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ASSETS</w:t>
            </w:r>
          </w:p>
        </w:tc>
        <w:tc>
          <w:tcPr>
            <w:tcW w:w="280" w:type="dxa"/>
            <w:vAlign w:val="bottom"/>
            <w:tcBorders>
              <w:top w:val="single" w:sz="8" w:color="auto"/>
            </w:tcBorders>
            <w:shd w:val="clear" w:color="auto" w:fill="CCEEFF"/>
          </w:tcPr>
          <w:p>
            <w:pPr>
              <w:spacing w:after="0"/>
              <w:rPr>
                <w:sz w:val="10"/>
                <w:szCs w:val="10"/>
                <w:color w:val="auto"/>
              </w:rPr>
            </w:pPr>
          </w:p>
        </w:tc>
        <w:tc>
          <w:tcPr>
            <w:tcW w:w="15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1280" w:type="dxa"/>
            <w:vAlign w:val="bottom"/>
            <w:tcBorders>
              <w:top w:val="single" w:sz="8" w:color="auto"/>
            </w:tcBorders>
            <w:shd w:val="clear" w:color="auto" w:fill="CCEEFF"/>
          </w:tcPr>
          <w:p>
            <w:pPr>
              <w:spacing w:after="0"/>
              <w:rPr>
                <w:sz w:val="10"/>
                <w:szCs w:val="10"/>
                <w:color w:val="auto"/>
              </w:rPr>
            </w:pPr>
          </w:p>
        </w:tc>
      </w:tr>
      <w:tr>
        <w:trPr>
          <w:trHeight w:val="126"/>
        </w:trPr>
        <w:tc>
          <w:tcPr>
            <w:tcW w:w="78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Current assets:</w:t>
            </w:r>
          </w:p>
        </w:tc>
        <w:tc>
          <w:tcPr>
            <w:tcW w:w="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6"/>
        </w:trPr>
        <w:tc>
          <w:tcPr>
            <w:tcW w:w="780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Cash and cash equivalents</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2,912,679</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3,091,062</w:t>
            </w:r>
          </w:p>
        </w:tc>
      </w:tr>
      <w:tr>
        <w:trPr>
          <w:trHeight w:val="126"/>
        </w:trPr>
        <w:tc>
          <w:tcPr>
            <w:tcW w:w="7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Short term investments</w:t>
            </w:r>
          </w:p>
        </w:tc>
        <w:tc>
          <w:tcPr>
            <w:tcW w:w="280" w:type="dxa"/>
            <w:vAlign w:val="bottom"/>
          </w:tcPr>
          <w:p>
            <w:pPr>
              <w:spacing w:after="0"/>
              <w:rPr>
                <w:sz w:val="10"/>
                <w:szCs w:val="10"/>
                <w:color w:val="auto"/>
              </w:rPr>
            </w:pPr>
          </w:p>
        </w:tc>
        <w:tc>
          <w:tcPr>
            <w:tcW w:w="1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7,020,288</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17,064,274</w:t>
            </w:r>
          </w:p>
        </w:tc>
      </w:tr>
      <w:tr>
        <w:trPr>
          <w:trHeight w:val="126"/>
        </w:trPr>
        <w:tc>
          <w:tcPr>
            <w:tcW w:w="780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Accounts receivable, less allowance for credit losses of $1,922 and $6,027, respectively</w:t>
            </w: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1,197,055</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1,379,517</w:t>
            </w:r>
          </w:p>
        </w:tc>
      </w:tr>
      <w:tr>
        <w:trPr>
          <w:trHeight w:val="126"/>
        </w:trPr>
        <w:tc>
          <w:tcPr>
            <w:tcW w:w="7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Inventories</w:t>
            </w:r>
          </w:p>
        </w:tc>
        <w:tc>
          <w:tcPr>
            <w:tcW w:w="280" w:type="dxa"/>
            <w:vAlign w:val="bottom"/>
          </w:tcPr>
          <w:p>
            <w:pPr>
              <w:spacing w:after="0"/>
              <w:rPr>
                <w:sz w:val="10"/>
                <w:szCs w:val="10"/>
                <w:color w:val="auto"/>
              </w:rPr>
            </w:pPr>
          </w:p>
        </w:tc>
        <w:tc>
          <w:tcPr>
            <w:tcW w:w="1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4,661,005</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6,423,441</w:t>
            </w:r>
          </w:p>
        </w:tc>
      </w:tr>
      <w:tr>
        <w:trPr>
          <w:trHeight w:val="126"/>
        </w:trPr>
        <w:tc>
          <w:tcPr>
            <w:tcW w:w="780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1,117,276</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1,002,514</w:t>
            </w:r>
          </w:p>
        </w:tc>
      </w:tr>
      <w:tr>
        <w:trPr>
          <w:trHeight w:val="126"/>
        </w:trPr>
        <w:tc>
          <w:tcPr>
            <w:tcW w:w="7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Interest receivable</w:t>
            </w:r>
          </w:p>
        </w:tc>
        <w:tc>
          <w:tcPr>
            <w:tcW w:w="280" w:type="dxa"/>
            <w:vAlign w:val="bottom"/>
          </w:tcPr>
          <w:p>
            <w:pPr>
              <w:spacing w:after="0"/>
              <w:rPr>
                <w:sz w:val="10"/>
                <w:szCs w:val="10"/>
                <w:color w:val="auto"/>
              </w:rPr>
            </w:pPr>
          </w:p>
        </w:tc>
        <w:tc>
          <w:tcPr>
            <w:tcW w:w="1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116,575</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51,150</w:t>
            </w:r>
          </w:p>
        </w:tc>
      </w:tr>
      <w:tr>
        <w:trPr>
          <w:trHeight w:val="126"/>
        </w:trPr>
        <w:tc>
          <w:tcPr>
            <w:tcW w:w="780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Income taxes receivable</w:t>
            </w:r>
          </w:p>
        </w:tc>
        <w:tc>
          <w:tcPr>
            <w:tcW w:w="280" w:type="dxa"/>
            <w:vAlign w:val="bottom"/>
            <w:tcBorders>
              <w:bottom w:val="single" w:sz="8" w:color="auto"/>
            </w:tcBorders>
            <w:shd w:val="clear" w:color="auto" w:fill="CCEEFF"/>
          </w:tcPr>
          <w:p>
            <w:pPr>
              <w:spacing w:after="0"/>
              <w:rPr>
                <w:sz w:val="10"/>
                <w:szCs w:val="10"/>
                <w:color w:val="auto"/>
              </w:rPr>
            </w:pPr>
          </w:p>
        </w:tc>
        <w:tc>
          <w:tcPr>
            <w:tcW w:w="15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210,778</w:t>
            </w:r>
          </w:p>
        </w:tc>
        <w:tc>
          <w:tcPr>
            <w:tcW w:w="1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86,901</w:t>
            </w:r>
          </w:p>
        </w:tc>
      </w:tr>
      <w:tr>
        <w:trPr>
          <w:trHeight w:val="115"/>
        </w:trPr>
        <w:tc>
          <w:tcPr>
            <w:tcW w:w="7800" w:type="dxa"/>
            <w:vAlign w:val="bottom"/>
            <w:tcBorders>
              <w:bottom w:val="single" w:sz="8" w:color="CCEEFF"/>
            </w:tcBorders>
            <w:gridSpan w:val="2"/>
          </w:tcPr>
          <w:p>
            <w:pPr>
              <w:ind w:left="140"/>
              <w:spacing w:after="0" w:line="115" w:lineRule="exact"/>
              <w:rPr>
                <w:sz w:val="20"/>
                <w:szCs w:val="20"/>
                <w:color w:val="auto"/>
              </w:rPr>
            </w:pPr>
            <w:r>
              <w:rPr>
                <w:rFonts w:ascii="Times New Roman" w:cs="Times New Roman" w:eastAsia="Times New Roman" w:hAnsi="Times New Roman"/>
                <w:sz w:val="12"/>
                <w:szCs w:val="12"/>
                <w:color w:val="auto"/>
              </w:rPr>
              <w:t>Total current assets</w:t>
            </w: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17,235,656</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29,098,859</w:t>
            </w:r>
          </w:p>
        </w:tc>
      </w:tr>
      <w:tr>
        <w:trPr>
          <w:trHeight w:val="115"/>
        </w:trPr>
        <w:tc>
          <w:tcPr>
            <w:tcW w:w="840" w:type="dxa"/>
            <w:vAlign w:val="bottom"/>
            <w:shd w:val="clear" w:color="auto" w:fill="CCEEFF"/>
          </w:tcPr>
          <w:p>
            <w:pPr>
              <w:spacing w:after="0"/>
              <w:rPr>
                <w:sz w:val="10"/>
                <w:szCs w:val="10"/>
                <w:color w:val="auto"/>
              </w:rPr>
            </w:pPr>
          </w:p>
        </w:tc>
        <w:tc>
          <w:tcPr>
            <w:tcW w:w="69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26"/>
        </w:trPr>
        <w:tc>
          <w:tcPr>
            <w:tcW w:w="7800" w:type="dxa"/>
            <w:vAlign w:val="bottom"/>
            <w:tcBorders>
              <w:bottom w:val="single" w:sz="8" w:color="CCEEFF"/>
            </w:tcBorders>
            <w:gridSpan w:val="2"/>
          </w:tcPr>
          <w:p>
            <w:pPr>
              <w:spacing w:after="0" w:line="126" w:lineRule="exact"/>
              <w:rPr>
                <w:sz w:val="20"/>
                <w:szCs w:val="20"/>
                <w:color w:val="auto"/>
              </w:rPr>
            </w:pPr>
            <w:r>
              <w:rPr>
                <w:rFonts w:ascii="Times New Roman" w:cs="Times New Roman" w:eastAsia="Times New Roman" w:hAnsi="Times New Roman"/>
                <w:sz w:val="12"/>
                <w:szCs w:val="12"/>
                <w:color w:val="auto"/>
              </w:rPr>
              <w:t>Equipment and leasehold improvements, net</w:t>
            </w: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1,272,817</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953,903</w:t>
            </w:r>
          </w:p>
        </w:tc>
      </w:tr>
      <w:tr>
        <w:trPr>
          <w:trHeight w:val="115"/>
        </w:trPr>
        <w:tc>
          <w:tcPr>
            <w:tcW w:w="840" w:type="dxa"/>
            <w:vAlign w:val="bottom"/>
            <w:shd w:val="clear" w:color="auto" w:fill="CCEEFF"/>
          </w:tcPr>
          <w:p>
            <w:pPr>
              <w:spacing w:after="0"/>
              <w:rPr>
                <w:sz w:val="10"/>
                <w:szCs w:val="10"/>
                <w:color w:val="auto"/>
              </w:rPr>
            </w:pPr>
          </w:p>
        </w:tc>
        <w:tc>
          <w:tcPr>
            <w:tcW w:w="69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26"/>
        </w:trPr>
        <w:tc>
          <w:tcPr>
            <w:tcW w:w="78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Other assets:</w:t>
            </w:r>
          </w:p>
        </w:tc>
        <w:tc>
          <w:tcPr>
            <w:tcW w:w="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6"/>
        </w:trPr>
        <w:tc>
          <w:tcPr>
            <w:tcW w:w="780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Long term investments</w:t>
            </w: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10,012,611</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r>
      <w:tr>
        <w:trPr>
          <w:trHeight w:val="126"/>
        </w:trPr>
        <w:tc>
          <w:tcPr>
            <w:tcW w:w="7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Operating lease right-of-use asset</w:t>
            </w:r>
          </w:p>
        </w:tc>
        <w:tc>
          <w:tcPr>
            <w:tcW w:w="280" w:type="dxa"/>
            <w:vAlign w:val="bottom"/>
          </w:tcPr>
          <w:p>
            <w:pPr>
              <w:spacing w:after="0"/>
              <w:rPr>
                <w:sz w:val="10"/>
                <w:szCs w:val="10"/>
                <w:color w:val="auto"/>
              </w:rPr>
            </w:pPr>
          </w:p>
        </w:tc>
        <w:tc>
          <w:tcPr>
            <w:tcW w:w="1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2,825,348</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3,015,887</w:t>
            </w:r>
          </w:p>
        </w:tc>
      </w:tr>
      <w:tr>
        <w:trPr>
          <w:trHeight w:val="126"/>
        </w:trPr>
        <w:tc>
          <w:tcPr>
            <w:tcW w:w="780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Cash surrender value of life insurance</w:t>
            </w:r>
          </w:p>
        </w:tc>
        <w:tc>
          <w:tcPr>
            <w:tcW w:w="280" w:type="dxa"/>
            <w:vAlign w:val="bottom"/>
            <w:tcBorders>
              <w:bottom w:val="single" w:sz="8" w:color="auto"/>
            </w:tcBorders>
            <w:shd w:val="clear" w:color="auto" w:fill="CCEEFF"/>
          </w:tcPr>
          <w:p>
            <w:pPr>
              <w:spacing w:after="0"/>
              <w:rPr>
                <w:sz w:val="10"/>
                <w:szCs w:val="10"/>
                <w:color w:val="auto"/>
              </w:rPr>
            </w:pPr>
          </w:p>
        </w:tc>
        <w:tc>
          <w:tcPr>
            <w:tcW w:w="15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6,258,436</w:t>
            </w:r>
          </w:p>
        </w:tc>
        <w:tc>
          <w:tcPr>
            <w:tcW w:w="1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6,020,048</w:t>
            </w:r>
          </w:p>
        </w:tc>
      </w:tr>
      <w:tr>
        <w:trPr>
          <w:trHeight w:val="115"/>
        </w:trPr>
        <w:tc>
          <w:tcPr>
            <w:tcW w:w="7800" w:type="dxa"/>
            <w:vAlign w:val="bottom"/>
            <w:tcBorders>
              <w:bottom w:val="single" w:sz="8" w:color="CCEEFF"/>
            </w:tcBorders>
            <w:gridSpan w:val="2"/>
          </w:tcPr>
          <w:p>
            <w:pPr>
              <w:ind w:left="140"/>
              <w:spacing w:after="0" w:line="115" w:lineRule="exact"/>
              <w:rPr>
                <w:sz w:val="20"/>
                <w:szCs w:val="20"/>
                <w:color w:val="auto"/>
              </w:rPr>
            </w:pPr>
            <w:r>
              <w:rPr>
                <w:rFonts w:ascii="Times New Roman" w:cs="Times New Roman" w:eastAsia="Times New Roman" w:hAnsi="Times New Roman"/>
                <w:sz w:val="12"/>
                <w:szCs w:val="12"/>
                <w:color w:val="auto"/>
              </w:rPr>
              <w:t>Total other assets</w:t>
            </w: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19,096,395</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9,035,935</w:t>
            </w:r>
          </w:p>
        </w:tc>
      </w:tr>
      <w:tr>
        <w:trPr>
          <w:trHeight w:val="115"/>
        </w:trPr>
        <w:tc>
          <w:tcPr>
            <w:tcW w:w="840" w:type="dxa"/>
            <w:vAlign w:val="bottom"/>
            <w:shd w:val="clear" w:color="auto" w:fill="CCEEFF"/>
          </w:tcPr>
          <w:p>
            <w:pPr>
              <w:spacing w:after="0"/>
              <w:rPr>
                <w:sz w:val="10"/>
                <w:szCs w:val="10"/>
                <w:color w:val="auto"/>
              </w:rPr>
            </w:pPr>
          </w:p>
        </w:tc>
        <w:tc>
          <w:tcPr>
            <w:tcW w:w="69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33"/>
        </w:trPr>
        <w:tc>
          <w:tcPr>
            <w:tcW w:w="7800" w:type="dxa"/>
            <w:vAlign w:val="bottom"/>
            <w:tcBorders>
              <w:bottom w:val="single" w:sz="8" w:color="CCEEFF"/>
            </w:tcBorders>
            <w:gridSpan w:val="2"/>
          </w:tcPr>
          <w:p>
            <w:pPr>
              <w:ind w:left="360"/>
              <w:spacing w:after="0" w:line="126" w:lineRule="exact"/>
              <w:rPr>
                <w:sz w:val="20"/>
                <w:szCs w:val="20"/>
                <w:color w:val="auto"/>
              </w:rPr>
            </w:pPr>
            <w:r>
              <w:rPr>
                <w:rFonts w:ascii="Times New Roman" w:cs="Times New Roman" w:eastAsia="Times New Roman" w:hAnsi="Times New Roman"/>
                <w:sz w:val="12"/>
                <w:szCs w:val="12"/>
                <w:color w:val="auto"/>
              </w:rPr>
              <w:t>Total assets</w:t>
            </w:r>
          </w:p>
        </w:tc>
        <w:tc>
          <w:tcPr>
            <w:tcW w:w="2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37,604,868</w:t>
            </w:r>
          </w:p>
        </w:tc>
        <w:tc>
          <w:tcPr>
            <w:tcW w:w="18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39,088,697</w:t>
            </w:r>
          </w:p>
        </w:tc>
      </w:tr>
      <w:tr>
        <w:trPr>
          <w:trHeight w:val="126"/>
        </w:trPr>
        <w:tc>
          <w:tcPr>
            <w:tcW w:w="840" w:type="dxa"/>
            <w:vAlign w:val="bottom"/>
            <w:shd w:val="clear" w:color="auto" w:fill="CCEEFF"/>
          </w:tcPr>
          <w:p>
            <w:pPr>
              <w:spacing w:after="0"/>
              <w:rPr>
                <w:sz w:val="10"/>
                <w:szCs w:val="10"/>
                <w:color w:val="auto"/>
              </w:rPr>
            </w:pPr>
          </w:p>
        </w:tc>
        <w:tc>
          <w:tcPr>
            <w:tcW w:w="69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26"/>
        </w:trPr>
        <w:tc>
          <w:tcPr>
            <w:tcW w:w="780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LIABILITIES AND STOCKHOLDERS' EQUITY</w:t>
            </w:r>
          </w:p>
        </w:tc>
        <w:tc>
          <w:tcPr>
            <w:tcW w:w="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6"/>
        </w:trPr>
        <w:tc>
          <w:tcPr>
            <w:tcW w:w="7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Current liabilities:</w:t>
            </w: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26"/>
        </w:trPr>
        <w:tc>
          <w:tcPr>
            <w:tcW w:w="7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Accounts payable</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215,705</w:t>
            </w:r>
          </w:p>
        </w:tc>
        <w:tc>
          <w:tcPr>
            <w:tcW w:w="180" w:type="dxa"/>
            <w:vAlign w:val="bottom"/>
          </w:tcPr>
          <w:p>
            <w:pPr>
              <w:spacing w:after="0"/>
              <w:rPr>
                <w:sz w:val="10"/>
                <w:szCs w:val="10"/>
                <w:color w:val="auto"/>
              </w:rPr>
            </w:pPr>
          </w:p>
        </w:tc>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267,513</w:t>
            </w:r>
          </w:p>
        </w:tc>
      </w:tr>
      <w:tr>
        <w:trPr>
          <w:trHeight w:val="126"/>
        </w:trPr>
        <w:tc>
          <w:tcPr>
            <w:tcW w:w="780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Accrued liabilities</w:t>
            </w: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901,297</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1,342,039</w:t>
            </w:r>
          </w:p>
        </w:tc>
      </w:tr>
      <w:tr>
        <w:trPr>
          <w:trHeight w:val="126"/>
        </w:trPr>
        <w:tc>
          <w:tcPr>
            <w:tcW w:w="7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Deferred revenue</w:t>
            </w:r>
          </w:p>
        </w:tc>
        <w:tc>
          <w:tcPr>
            <w:tcW w:w="280" w:type="dxa"/>
            <w:vAlign w:val="bottom"/>
          </w:tcPr>
          <w:p>
            <w:pPr>
              <w:spacing w:after="0"/>
              <w:rPr>
                <w:sz w:val="10"/>
                <w:szCs w:val="10"/>
                <w:color w:val="auto"/>
              </w:rPr>
            </w:pPr>
          </w:p>
        </w:tc>
        <w:tc>
          <w:tcPr>
            <w:tcW w:w="1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292,795</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450,312</w:t>
            </w:r>
          </w:p>
        </w:tc>
      </w:tr>
      <w:tr>
        <w:trPr>
          <w:trHeight w:val="126"/>
        </w:trPr>
        <w:tc>
          <w:tcPr>
            <w:tcW w:w="780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Operating lease liability</w:t>
            </w: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236,570</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236,225</w:t>
            </w:r>
          </w:p>
        </w:tc>
      </w:tr>
      <w:tr>
        <w:trPr>
          <w:trHeight w:val="126"/>
        </w:trPr>
        <w:tc>
          <w:tcPr>
            <w:tcW w:w="7800" w:type="dxa"/>
            <w:vAlign w:val="bottom"/>
            <w:tcBorders>
              <w:bottom w:val="single" w:sz="8" w:color="CCEEFF"/>
            </w:tcBorders>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Income taxes payable</w:t>
            </w: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5,281</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87,237</w:t>
            </w:r>
          </w:p>
        </w:tc>
      </w:tr>
      <w:tr>
        <w:trPr>
          <w:trHeight w:val="115"/>
        </w:trPr>
        <w:tc>
          <w:tcPr>
            <w:tcW w:w="7800" w:type="dxa"/>
            <w:vAlign w:val="bottom"/>
            <w:gridSpan w:val="2"/>
            <w:shd w:val="clear" w:color="auto" w:fill="CCEEFF"/>
          </w:tcPr>
          <w:p>
            <w:pPr>
              <w:ind w:left="140"/>
              <w:spacing w:after="0" w:line="115" w:lineRule="exact"/>
              <w:rPr>
                <w:sz w:val="20"/>
                <w:szCs w:val="20"/>
                <w:color w:val="auto"/>
              </w:rPr>
            </w:pPr>
            <w:r>
              <w:rPr>
                <w:rFonts w:ascii="Times New Roman" w:cs="Times New Roman" w:eastAsia="Times New Roman" w:hAnsi="Times New Roman"/>
                <w:sz w:val="12"/>
                <w:szCs w:val="12"/>
                <w:color w:val="auto"/>
              </w:rPr>
              <w:t>Total current liabilities</w:t>
            </w:r>
          </w:p>
        </w:tc>
        <w:tc>
          <w:tcPr>
            <w:tcW w:w="280" w:type="dxa"/>
            <w:vAlign w:val="bottom"/>
            <w:tcBorders>
              <w:bottom w:val="single" w:sz="8" w:color="auto"/>
            </w:tcBorders>
            <w:shd w:val="clear" w:color="auto" w:fill="CCEEFF"/>
          </w:tcPr>
          <w:p>
            <w:pPr>
              <w:spacing w:after="0"/>
              <w:rPr>
                <w:sz w:val="10"/>
                <w:szCs w:val="10"/>
                <w:color w:val="auto"/>
              </w:rPr>
            </w:pPr>
          </w:p>
        </w:tc>
        <w:tc>
          <w:tcPr>
            <w:tcW w:w="15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1,651,648</w:t>
            </w:r>
          </w:p>
        </w:tc>
        <w:tc>
          <w:tcPr>
            <w:tcW w:w="1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2,383,326</w:t>
            </w:r>
          </w:p>
        </w:tc>
      </w:tr>
      <w:tr>
        <w:trPr>
          <w:trHeight w:val="115"/>
        </w:trPr>
        <w:tc>
          <w:tcPr>
            <w:tcW w:w="84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6"/>
        </w:trPr>
        <w:tc>
          <w:tcPr>
            <w:tcW w:w="7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Long-term liabilities:</w:t>
            </w: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26"/>
        </w:trPr>
        <w:tc>
          <w:tcPr>
            <w:tcW w:w="7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Deferred compensation</w:t>
            </w:r>
          </w:p>
        </w:tc>
        <w:tc>
          <w:tcPr>
            <w:tcW w:w="280" w:type="dxa"/>
            <w:vAlign w:val="bottom"/>
          </w:tcPr>
          <w:p>
            <w:pPr>
              <w:spacing w:after="0"/>
              <w:rPr>
                <w:sz w:val="10"/>
                <w:szCs w:val="10"/>
                <w:color w:val="auto"/>
              </w:rPr>
            </w:pPr>
          </w:p>
        </w:tc>
        <w:tc>
          <w:tcPr>
            <w:tcW w:w="1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2,110,507</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1,997,120</w:t>
            </w:r>
          </w:p>
        </w:tc>
      </w:tr>
      <w:tr>
        <w:trPr>
          <w:trHeight w:val="126"/>
        </w:trPr>
        <w:tc>
          <w:tcPr>
            <w:tcW w:w="780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Deferred revenue</w:t>
            </w: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117,402</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113,003</w:t>
            </w:r>
          </w:p>
        </w:tc>
      </w:tr>
      <w:tr>
        <w:trPr>
          <w:trHeight w:val="126"/>
        </w:trPr>
        <w:tc>
          <w:tcPr>
            <w:tcW w:w="7800" w:type="dxa"/>
            <w:vAlign w:val="bottom"/>
            <w:tcBorders>
              <w:bottom w:val="single" w:sz="8" w:color="CCEEFF"/>
            </w:tcBorders>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Operating lease liability</w:t>
            </w: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2,602,838</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2,787,970</w:t>
            </w:r>
          </w:p>
        </w:tc>
      </w:tr>
      <w:tr>
        <w:trPr>
          <w:trHeight w:val="115"/>
        </w:trPr>
        <w:tc>
          <w:tcPr>
            <w:tcW w:w="7800" w:type="dxa"/>
            <w:vAlign w:val="bottom"/>
            <w:gridSpan w:val="2"/>
            <w:shd w:val="clear" w:color="auto" w:fill="CCEEFF"/>
          </w:tcPr>
          <w:p>
            <w:pPr>
              <w:ind w:left="140"/>
              <w:spacing w:after="0" w:line="115" w:lineRule="exact"/>
              <w:rPr>
                <w:sz w:val="20"/>
                <w:szCs w:val="20"/>
                <w:color w:val="auto"/>
              </w:rPr>
            </w:pPr>
            <w:r>
              <w:rPr>
                <w:rFonts w:ascii="Times New Roman" w:cs="Times New Roman" w:eastAsia="Times New Roman" w:hAnsi="Times New Roman"/>
                <w:sz w:val="12"/>
                <w:szCs w:val="12"/>
                <w:color w:val="auto"/>
              </w:rPr>
              <w:t>Total long-term liabilities</w:t>
            </w:r>
          </w:p>
        </w:tc>
        <w:tc>
          <w:tcPr>
            <w:tcW w:w="280" w:type="dxa"/>
            <w:vAlign w:val="bottom"/>
            <w:tcBorders>
              <w:bottom w:val="single" w:sz="8" w:color="auto"/>
            </w:tcBorders>
            <w:shd w:val="clear" w:color="auto" w:fill="CCEEFF"/>
          </w:tcPr>
          <w:p>
            <w:pPr>
              <w:spacing w:after="0"/>
              <w:rPr>
                <w:sz w:val="10"/>
                <w:szCs w:val="10"/>
                <w:color w:val="auto"/>
              </w:rPr>
            </w:pPr>
          </w:p>
        </w:tc>
        <w:tc>
          <w:tcPr>
            <w:tcW w:w="15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4,830,747</w:t>
            </w:r>
          </w:p>
        </w:tc>
        <w:tc>
          <w:tcPr>
            <w:tcW w:w="1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4,898,093</w:t>
            </w:r>
          </w:p>
        </w:tc>
      </w:tr>
      <w:tr>
        <w:trPr>
          <w:trHeight w:val="115"/>
        </w:trPr>
        <w:tc>
          <w:tcPr>
            <w:tcW w:w="84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6"/>
        </w:trPr>
        <w:tc>
          <w:tcPr>
            <w:tcW w:w="7800" w:type="dxa"/>
            <w:vAlign w:val="bottom"/>
            <w:gridSpan w:val="2"/>
            <w:shd w:val="clear" w:color="auto" w:fill="CCEEFF"/>
          </w:tcPr>
          <w:p>
            <w:pPr>
              <w:ind w:left="280"/>
              <w:spacing w:after="0" w:line="126" w:lineRule="exact"/>
              <w:rPr>
                <w:sz w:val="20"/>
                <w:szCs w:val="20"/>
                <w:color w:val="auto"/>
              </w:rPr>
            </w:pPr>
            <w:r>
              <w:rPr>
                <w:rFonts w:ascii="Times New Roman" w:cs="Times New Roman" w:eastAsia="Times New Roman" w:hAnsi="Times New Roman"/>
                <w:sz w:val="12"/>
                <w:szCs w:val="12"/>
                <w:color w:val="auto"/>
              </w:rPr>
              <w:t>Total liabilities</w:t>
            </w:r>
          </w:p>
        </w:tc>
        <w:tc>
          <w:tcPr>
            <w:tcW w:w="280" w:type="dxa"/>
            <w:vAlign w:val="bottom"/>
            <w:tcBorders>
              <w:bottom w:val="single" w:sz="8" w:color="auto"/>
            </w:tcBorders>
            <w:shd w:val="clear" w:color="auto" w:fill="CCEEFF"/>
          </w:tcPr>
          <w:p>
            <w:pPr>
              <w:spacing w:after="0"/>
              <w:rPr>
                <w:sz w:val="10"/>
                <w:szCs w:val="10"/>
                <w:color w:val="auto"/>
              </w:rPr>
            </w:pPr>
          </w:p>
        </w:tc>
        <w:tc>
          <w:tcPr>
            <w:tcW w:w="15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6,482,395</w:t>
            </w:r>
          </w:p>
        </w:tc>
        <w:tc>
          <w:tcPr>
            <w:tcW w:w="1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7,281,419</w:t>
            </w:r>
          </w:p>
        </w:tc>
      </w:tr>
      <w:tr>
        <w:trPr>
          <w:trHeight w:val="115"/>
        </w:trPr>
        <w:tc>
          <w:tcPr>
            <w:tcW w:w="84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26"/>
        </w:trPr>
        <w:tc>
          <w:tcPr>
            <w:tcW w:w="78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Stockholders' equity:</w:t>
            </w: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126"/>
        </w:trPr>
        <w:tc>
          <w:tcPr>
            <w:tcW w:w="780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Common stock, $0.005 par value, authorized 20,000,000 shares; issued and outstanding 9,254,795 and 9,234,795, respectively</w:t>
            </w:r>
          </w:p>
        </w:tc>
        <w:tc>
          <w:tcPr>
            <w:tcW w:w="280" w:type="dxa"/>
            <w:vAlign w:val="bottom"/>
          </w:tcPr>
          <w:p>
            <w:pPr>
              <w:spacing w:after="0"/>
              <w:rPr>
                <w:sz w:val="10"/>
                <w:szCs w:val="10"/>
                <w:color w:val="auto"/>
              </w:rPr>
            </w:pPr>
          </w:p>
        </w:tc>
        <w:tc>
          <w:tcPr>
            <w:tcW w:w="15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46,274</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46,174</w:t>
            </w:r>
          </w:p>
        </w:tc>
      </w:tr>
      <w:tr>
        <w:trPr>
          <w:trHeight w:val="126"/>
        </w:trPr>
        <w:tc>
          <w:tcPr>
            <w:tcW w:w="780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Paid in capital</w:t>
            </w:r>
          </w:p>
        </w:tc>
        <w:tc>
          <w:tcPr>
            <w:tcW w:w="280" w:type="dxa"/>
            <w:vAlign w:val="bottom"/>
            <w:shd w:val="clear" w:color="auto" w:fill="CCEEFF"/>
          </w:tcPr>
          <w:p>
            <w:pPr>
              <w:spacing w:after="0"/>
              <w:rPr>
                <w:sz w:val="10"/>
                <w:szCs w:val="10"/>
                <w:color w:val="auto"/>
              </w:rPr>
            </w:pPr>
          </w:p>
        </w:tc>
        <w:tc>
          <w:tcPr>
            <w:tcW w:w="15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13,269,630</w:t>
            </w:r>
          </w:p>
        </w:tc>
        <w:tc>
          <w:tcPr>
            <w:tcW w:w="1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13,113,993</w:t>
            </w:r>
          </w:p>
        </w:tc>
      </w:tr>
      <w:tr>
        <w:trPr>
          <w:trHeight w:val="126"/>
        </w:trPr>
        <w:tc>
          <w:tcPr>
            <w:tcW w:w="7800" w:type="dxa"/>
            <w:vAlign w:val="bottom"/>
            <w:tcBorders>
              <w:bottom w:val="single" w:sz="8" w:color="CCEEFF"/>
            </w:tcBorders>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Retained earnings</w:t>
            </w:r>
          </w:p>
        </w:tc>
        <w:tc>
          <w:tcPr>
            <w:tcW w:w="28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17,806,569</w:t>
            </w:r>
          </w:p>
        </w:tc>
        <w:tc>
          <w:tcPr>
            <w:tcW w:w="1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18,647,111</w:t>
            </w:r>
          </w:p>
        </w:tc>
      </w:tr>
      <w:tr>
        <w:trPr>
          <w:trHeight w:val="115"/>
        </w:trPr>
        <w:tc>
          <w:tcPr>
            <w:tcW w:w="7800" w:type="dxa"/>
            <w:vAlign w:val="bottom"/>
            <w:gridSpan w:val="2"/>
            <w:shd w:val="clear" w:color="auto" w:fill="CCEEFF"/>
          </w:tcPr>
          <w:p>
            <w:pPr>
              <w:ind w:left="280"/>
              <w:spacing w:after="0" w:line="115" w:lineRule="exact"/>
              <w:rPr>
                <w:sz w:val="20"/>
                <w:szCs w:val="20"/>
                <w:color w:val="auto"/>
              </w:rPr>
            </w:pPr>
            <w:r>
              <w:rPr>
                <w:rFonts w:ascii="Times New Roman" w:cs="Times New Roman" w:eastAsia="Times New Roman" w:hAnsi="Times New Roman"/>
                <w:sz w:val="12"/>
                <w:szCs w:val="12"/>
                <w:color w:val="auto"/>
              </w:rPr>
              <w:t>Total stockholders' equity</w:t>
            </w:r>
          </w:p>
        </w:tc>
        <w:tc>
          <w:tcPr>
            <w:tcW w:w="280" w:type="dxa"/>
            <w:vAlign w:val="bottom"/>
            <w:tcBorders>
              <w:bottom w:val="single" w:sz="8" w:color="auto"/>
            </w:tcBorders>
            <w:shd w:val="clear" w:color="auto" w:fill="CCEEFF"/>
          </w:tcPr>
          <w:p>
            <w:pPr>
              <w:spacing w:after="0"/>
              <w:rPr>
                <w:sz w:val="10"/>
                <w:szCs w:val="10"/>
                <w:color w:val="auto"/>
              </w:rPr>
            </w:pPr>
          </w:p>
        </w:tc>
        <w:tc>
          <w:tcPr>
            <w:tcW w:w="15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31,122,473</w:t>
            </w:r>
          </w:p>
        </w:tc>
        <w:tc>
          <w:tcPr>
            <w:tcW w:w="180" w:type="dxa"/>
            <w:vAlign w:val="bottom"/>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12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31,807,278</w:t>
            </w:r>
          </w:p>
        </w:tc>
      </w:tr>
      <w:tr>
        <w:trPr>
          <w:trHeight w:val="115"/>
        </w:trPr>
        <w:tc>
          <w:tcPr>
            <w:tcW w:w="84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133"/>
        </w:trPr>
        <w:tc>
          <w:tcPr>
            <w:tcW w:w="7800" w:type="dxa"/>
            <w:vAlign w:val="bottom"/>
            <w:tcBorders>
              <w:bottom w:val="single" w:sz="8" w:color="CCEEFF"/>
            </w:tcBorders>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2"/>
                <w:szCs w:val="12"/>
                <w:color w:val="auto"/>
              </w:rPr>
              <w:t>Total liabilities and stockholders' equity</w:t>
            </w:r>
          </w:p>
        </w:tc>
        <w:tc>
          <w:tcPr>
            <w:tcW w:w="280" w:type="dxa"/>
            <w:vAlign w:val="bottom"/>
            <w:tcBorders>
              <w:bottom w:val="single" w:sz="8" w:color="auto"/>
            </w:tcBorders>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37,604,868</w:t>
            </w:r>
          </w:p>
        </w:tc>
        <w:tc>
          <w:tcPr>
            <w:tcW w:w="1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39,088,697</w:t>
            </w:r>
          </w:p>
        </w:tc>
      </w:tr>
    </w:tbl>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38"/>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1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KOSS CORPORATION</w:t>
            </w: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4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CONDENSED CONSOLIDATED STATEMENTS OF OPERATIONS (Unaudited)</w:t>
            </w:r>
          </w:p>
        </w:tc>
        <w:tc>
          <w:tcPr>
            <w:tcW w:w="10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840" w:type="dxa"/>
            <w:vAlign w:val="bottom"/>
          </w:tcPr>
          <w:p>
            <w:pPr>
              <w:spacing w:after="0"/>
              <w:rPr>
                <w:sz w:val="23"/>
                <w:szCs w:val="23"/>
                <w:color w:val="auto"/>
              </w:rPr>
            </w:pPr>
          </w:p>
        </w:tc>
        <w:tc>
          <w:tcPr>
            <w:tcW w:w="36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gridSpan w:val="3"/>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9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84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jc w:val="right"/>
              <w:ind w:right="366"/>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CCEEFF"/>
            </w:tcBorders>
          </w:tcPr>
          <w:p>
            <w:pPr>
              <w:spacing w:after="0"/>
              <w:rPr>
                <w:sz w:val="10"/>
                <w:szCs w:val="10"/>
                <w:color w:val="auto"/>
              </w:rPr>
            </w:pPr>
          </w:p>
        </w:tc>
        <w:tc>
          <w:tcPr>
            <w:tcW w:w="3600" w:type="dxa"/>
            <w:vAlign w:val="bottom"/>
            <w:tcBorders>
              <w:bottom w:val="single" w:sz="8" w:color="CCEEFF"/>
            </w:tcBorders>
          </w:tcPr>
          <w:p>
            <w:pPr>
              <w:spacing w:after="0"/>
              <w:rPr>
                <w:sz w:val="10"/>
                <w:szCs w:val="10"/>
                <w:color w:val="auto"/>
              </w:rPr>
            </w:pPr>
          </w:p>
        </w:tc>
        <w:tc>
          <w:tcPr>
            <w:tcW w:w="1000" w:type="dxa"/>
            <w:vAlign w:val="bottom"/>
            <w:tcBorders>
              <w:bottom w:val="single" w:sz="8" w:color="auto"/>
            </w:tcBorders>
          </w:tcPr>
          <w:p>
            <w:pPr>
              <w:jc w:val="right"/>
              <w:ind w:right="25"/>
              <w:spacing w:after="0" w:line="115" w:lineRule="exact"/>
              <w:rPr>
                <w:sz w:val="20"/>
                <w:szCs w:val="20"/>
                <w:color w:val="auto"/>
              </w:rPr>
            </w:pPr>
            <w:r>
              <w:rPr>
                <w:rFonts w:ascii="Times New Roman" w:cs="Times New Roman" w:eastAsia="Times New Roman" w:hAnsi="Times New Roman"/>
                <w:sz w:val="12"/>
                <w:szCs w:val="12"/>
                <w:b w:val="1"/>
                <w:bCs w:val="1"/>
                <w:color w:val="auto"/>
              </w:rPr>
              <w:t>2024</w:t>
            </w:r>
          </w:p>
        </w:tc>
        <w:tc>
          <w:tcPr>
            <w:tcW w:w="600" w:type="dxa"/>
            <w:vAlign w:val="bottom"/>
            <w:tcBorders>
              <w:bottom w:val="single" w:sz="8" w:color="auto"/>
            </w:tcBorders>
          </w:tcPr>
          <w:p>
            <w:pPr>
              <w:spacing w:after="0"/>
              <w:rPr>
                <w:sz w:val="10"/>
                <w:szCs w:val="10"/>
                <w:color w:val="auto"/>
              </w:rPr>
            </w:pP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20"/>
              <w:spacing w:after="0" w:line="115" w:lineRule="exact"/>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00"/>
              <w:spacing w:after="0" w:line="115" w:lineRule="exact"/>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00"/>
              <w:spacing w:after="0" w:line="115"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4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Net sales</w:t>
            </w:r>
          </w:p>
        </w:tc>
        <w:tc>
          <w:tcPr>
            <w:tcW w:w="1000" w:type="dxa"/>
            <w:vAlign w:val="bottom"/>
            <w:shd w:val="clear" w:color="auto" w:fill="CCEEFF"/>
          </w:tcPr>
          <w:p>
            <w:pPr>
              <w:jc w:val="right"/>
              <w:ind w:right="88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2,637,606</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3,380,840</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9,371,668</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2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10,026,301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40" w:type="dxa"/>
            <w:vAlign w:val="bottom"/>
            <w:tcBorders>
              <w:bottom w:val="single" w:sz="8" w:color="CCEEFF"/>
            </w:tcBorders>
            <w:gridSpan w:val="2"/>
          </w:tcPr>
          <w:p>
            <w:pPr>
              <w:spacing w:after="0" w:line="126" w:lineRule="exact"/>
              <w:rPr>
                <w:sz w:val="20"/>
                <w:szCs w:val="20"/>
                <w:color w:val="auto"/>
              </w:rPr>
            </w:pPr>
            <w:r>
              <w:rPr>
                <w:rFonts w:ascii="Times New Roman" w:cs="Times New Roman" w:eastAsia="Times New Roman" w:hAnsi="Times New Roman"/>
                <w:sz w:val="12"/>
                <w:szCs w:val="12"/>
                <w:color w:val="auto"/>
              </w:rPr>
              <w:t>Cost of goods sold</w:t>
            </w:r>
          </w:p>
        </w:tc>
        <w:tc>
          <w:tcPr>
            <w:tcW w:w="10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1,796,083</w:t>
            </w: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2,076,482</w:t>
            </w:r>
          </w:p>
        </w:tc>
        <w:tc>
          <w:tcPr>
            <w:tcW w:w="1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6,354,015</w:t>
            </w: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6,390,557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44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Gross profit</w:t>
            </w:r>
          </w:p>
        </w:tc>
        <w:tc>
          <w:tcPr>
            <w:tcW w:w="100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841,523</w:t>
            </w:r>
          </w:p>
        </w:tc>
        <w:tc>
          <w:tcPr>
            <w:tcW w:w="1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1,304,358</w:t>
            </w:r>
          </w:p>
        </w:tc>
        <w:tc>
          <w:tcPr>
            <w:tcW w:w="1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3,017,653</w:t>
            </w:r>
          </w:p>
        </w:tc>
        <w:tc>
          <w:tcPr>
            <w:tcW w:w="1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3,635,744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4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00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1,451,247</w:t>
            </w:r>
          </w:p>
        </w:tc>
        <w:tc>
          <w:tcPr>
            <w:tcW w:w="1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1,749,341</w:t>
            </w:r>
          </w:p>
        </w:tc>
        <w:tc>
          <w:tcPr>
            <w:tcW w:w="1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4,572,049</w:t>
            </w:r>
          </w:p>
        </w:tc>
        <w:tc>
          <w:tcPr>
            <w:tcW w:w="180" w:type="dxa"/>
            <w:vAlign w:val="bottom"/>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27,907,246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40" w:type="dxa"/>
            <w:vAlign w:val="bottom"/>
            <w:gridSpan w:val="2"/>
            <w:shd w:val="clear" w:color="auto" w:fill="CCEEFF"/>
          </w:tcPr>
          <w:p>
            <w:pPr>
              <w:ind w:left="140"/>
              <w:spacing w:after="0" w:line="126" w:lineRule="exact"/>
              <w:rPr>
                <w:sz w:val="20"/>
                <w:szCs w:val="20"/>
                <w:color w:val="auto"/>
              </w:rPr>
            </w:pPr>
            <w:r>
              <w:rPr>
                <w:rFonts w:ascii="Times New Roman" w:cs="Times New Roman" w:eastAsia="Times New Roman" w:hAnsi="Times New Roman"/>
                <w:sz w:val="12"/>
                <w:szCs w:val="12"/>
                <w:color w:val="auto"/>
              </w:rPr>
              <w:t>(Loss) from operations</w:t>
            </w:r>
          </w:p>
        </w:tc>
        <w:tc>
          <w:tcPr>
            <w:tcW w:w="10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(609,724)</w:t>
            </w:r>
          </w:p>
        </w:tc>
        <w:tc>
          <w:tcPr>
            <w:tcW w:w="56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(444,983)</w:t>
            </w:r>
          </w:p>
        </w:tc>
        <w:tc>
          <w:tcPr>
            <w:tcW w:w="3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(1,554,396)</w:t>
            </w: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(24,271,502)</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4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Other income</w:t>
            </w:r>
          </w:p>
        </w:tc>
        <w:tc>
          <w:tcPr>
            <w:tcW w:w="10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0"/>
                <w:szCs w:val="10"/>
                <w:color w:val="auto"/>
              </w:rPr>
            </w:pPr>
          </w:p>
        </w:tc>
        <w:tc>
          <w:tcPr>
            <w:tcW w:w="138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33,000,000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40" w:type="dxa"/>
            <w:vAlign w:val="bottom"/>
            <w:tcBorders>
              <w:bottom w:val="single" w:sz="8" w:color="CCEEFF"/>
            </w:tcBorders>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Interest income</w:t>
            </w:r>
          </w:p>
        </w:tc>
        <w:tc>
          <w:tcPr>
            <w:tcW w:w="10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214,814</w:t>
            </w: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189,593</w:t>
            </w:r>
          </w:p>
        </w:tc>
        <w:tc>
          <w:tcPr>
            <w:tcW w:w="1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636,482</w:t>
            </w: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314,482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shd w:val="clear" w:color="auto" w:fill="CCEEFF"/>
          </w:tcPr>
          <w:p>
            <w:pPr>
              <w:spacing w:after="0"/>
              <w:rPr>
                <w:sz w:val="10"/>
                <w:szCs w:val="10"/>
                <w:color w:val="auto"/>
              </w:rPr>
            </w:pPr>
          </w:p>
        </w:tc>
        <w:tc>
          <w:tcPr>
            <w:tcW w:w="3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4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2"/>
                <w:szCs w:val="12"/>
                <w:color w:val="auto"/>
              </w:rPr>
              <w:t>(Loss) income before income tax provision (benefit)</w:t>
            </w:r>
          </w:p>
        </w:tc>
        <w:tc>
          <w:tcPr>
            <w:tcW w:w="1000" w:type="dxa"/>
            <w:vAlign w:val="bottom"/>
          </w:tcPr>
          <w:p>
            <w:pPr>
              <w:spacing w:after="0"/>
              <w:rPr>
                <w:sz w:val="10"/>
                <w:szCs w:val="10"/>
                <w:color w:val="auto"/>
              </w:rPr>
            </w:pPr>
          </w:p>
        </w:tc>
        <w:tc>
          <w:tcPr>
            <w:tcW w:w="7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(394,910)</w:t>
            </w:r>
          </w:p>
        </w:tc>
        <w:tc>
          <w:tcPr>
            <w:tcW w:w="560" w:type="dxa"/>
            <w:vAlign w:val="bottom"/>
          </w:tcPr>
          <w:p>
            <w:pPr>
              <w:spacing w:after="0"/>
              <w:rPr>
                <w:sz w:val="10"/>
                <w:szCs w:val="10"/>
                <w:color w:val="auto"/>
              </w:rPr>
            </w:pPr>
          </w:p>
        </w:tc>
        <w:tc>
          <w:tcPr>
            <w:tcW w:w="12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(255,390)</w:t>
            </w:r>
          </w:p>
        </w:tc>
        <w:tc>
          <w:tcPr>
            <w:tcW w:w="360" w:type="dxa"/>
            <w:vAlign w:val="bottom"/>
          </w:tcPr>
          <w:p>
            <w:pPr>
              <w:spacing w:after="0"/>
              <w:rPr>
                <w:sz w:val="10"/>
                <w:szCs w:val="10"/>
                <w:color w:val="auto"/>
              </w:rPr>
            </w:pPr>
          </w:p>
        </w:tc>
        <w:tc>
          <w:tcPr>
            <w:tcW w:w="138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(917,914)</w:t>
            </w:r>
          </w:p>
        </w:tc>
        <w:tc>
          <w:tcPr>
            <w:tcW w:w="560" w:type="dxa"/>
            <w:vAlign w:val="bottom"/>
          </w:tcPr>
          <w:p>
            <w:pPr>
              <w:spacing w:after="0"/>
              <w:rPr>
                <w:sz w:val="10"/>
                <w:szCs w:val="10"/>
                <w:color w:val="auto"/>
              </w:rPr>
            </w:pPr>
          </w:p>
        </w:tc>
        <w:tc>
          <w:tcPr>
            <w:tcW w:w="10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9,042,980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shd w:val="clear" w:color="auto" w:fill="CCEEFF"/>
          </w:tcPr>
          <w:p>
            <w:pPr>
              <w:spacing w:after="0"/>
              <w:rPr>
                <w:sz w:val="10"/>
                <w:szCs w:val="10"/>
                <w:color w:val="auto"/>
              </w:rPr>
            </w:pPr>
          </w:p>
        </w:tc>
        <w:tc>
          <w:tcPr>
            <w:tcW w:w="3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4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Income tax provision (benefit)</w:t>
            </w:r>
          </w:p>
        </w:tc>
        <w:tc>
          <w:tcPr>
            <w:tcW w:w="1000" w:type="dxa"/>
            <w:vAlign w:val="bottom"/>
          </w:tcPr>
          <w:p>
            <w:pPr>
              <w:spacing w:after="0"/>
              <w:rPr>
                <w:sz w:val="10"/>
                <w:szCs w:val="10"/>
                <w:color w:val="auto"/>
              </w:rPr>
            </w:pPr>
          </w:p>
        </w:tc>
        <w:tc>
          <w:tcPr>
            <w:tcW w:w="7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(81,130)</w:t>
            </w:r>
          </w:p>
        </w:tc>
        <w:tc>
          <w:tcPr>
            <w:tcW w:w="560" w:type="dxa"/>
            <w:vAlign w:val="bottom"/>
          </w:tcPr>
          <w:p>
            <w:pPr>
              <w:spacing w:after="0"/>
              <w:rPr>
                <w:sz w:val="10"/>
                <w:szCs w:val="10"/>
                <w:color w:val="auto"/>
              </w:rPr>
            </w:pPr>
          </w:p>
        </w:tc>
        <w:tc>
          <w:tcPr>
            <w:tcW w:w="12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(30,910)</w:t>
            </w:r>
          </w:p>
        </w:tc>
        <w:tc>
          <w:tcPr>
            <w:tcW w:w="360" w:type="dxa"/>
            <w:vAlign w:val="bottom"/>
          </w:tcPr>
          <w:p>
            <w:pPr>
              <w:spacing w:after="0"/>
              <w:rPr>
                <w:sz w:val="10"/>
                <w:szCs w:val="10"/>
                <w:color w:val="auto"/>
              </w:rPr>
            </w:pPr>
          </w:p>
        </w:tc>
        <w:tc>
          <w:tcPr>
            <w:tcW w:w="138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(77,372)</w:t>
            </w:r>
          </w:p>
        </w:tc>
        <w:tc>
          <w:tcPr>
            <w:tcW w:w="560" w:type="dxa"/>
            <w:vAlign w:val="bottom"/>
          </w:tcPr>
          <w:p>
            <w:pPr>
              <w:spacing w:after="0"/>
              <w:rPr>
                <w:sz w:val="10"/>
                <w:szCs w:val="10"/>
                <w:color w:val="auto"/>
              </w:rPr>
            </w:pPr>
          </w:p>
        </w:tc>
        <w:tc>
          <w:tcPr>
            <w:tcW w:w="10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463,928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Borders>
              <w:top w:val="single" w:sz="8" w:color="CCEEFF"/>
            </w:tcBorders>
            <w:shd w:val="clear" w:color="auto" w:fill="CCEEFF"/>
          </w:tcPr>
          <w:p>
            <w:pPr>
              <w:spacing w:after="0"/>
              <w:rPr>
                <w:sz w:val="10"/>
                <w:szCs w:val="10"/>
                <w:color w:val="auto"/>
              </w:rPr>
            </w:pPr>
          </w:p>
        </w:tc>
        <w:tc>
          <w:tcPr>
            <w:tcW w:w="36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4440" w:type="dxa"/>
            <w:vAlign w:val="bottom"/>
            <w:gridSpan w:val="2"/>
          </w:tcPr>
          <w:p>
            <w:pPr>
              <w:ind w:left="360"/>
              <w:spacing w:after="0" w:line="126" w:lineRule="exact"/>
              <w:rPr>
                <w:sz w:val="20"/>
                <w:szCs w:val="20"/>
                <w:color w:val="auto"/>
              </w:rPr>
            </w:pPr>
            <w:r>
              <w:rPr>
                <w:rFonts w:ascii="Times New Roman" w:cs="Times New Roman" w:eastAsia="Times New Roman" w:hAnsi="Times New Roman"/>
                <w:sz w:val="12"/>
                <w:szCs w:val="12"/>
                <w:color w:val="auto"/>
              </w:rPr>
              <w:t>Net (loss) income</w:t>
            </w:r>
          </w:p>
        </w:tc>
        <w:tc>
          <w:tcPr>
            <w:tcW w:w="1000" w:type="dxa"/>
            <w:vAlign w:val="bottom"/>
          </w:tcPr>
          <w:p>
            <w:pPr>
              <w:jc w:val="right"/>
              <w:ind w:right="8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(313,780)</w:t>
            </w:r>
          </w:p>
        </w:tc>
        <w:tc>
          <w:tcPr>
            <w:tcW w:w="560" w:type="dxa"/>
            <w:vAlign w:val="bottom"/>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(224,480)</w:t>
            </w:r>
          </w:p>
        </w:tc>
        <w:tc>
          <w:tcPr>
            <w:tcW w:w="360" w:type="dxa"/>
            <w:vAlign w:val="bottom"/>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(840,542)</w:t>
            </w:r>
          </w:p>
        </w:tc>
        <w:tc>
          <w:tcPr>
            <w:tcW w:w="560" w:type="dxa"/>
            <w:vAlign w:val="bottom"/>
          </w:tcPr>
          <w:p>
            <w:pPr>
              <w:jc w:val="right"/>
              <w:ind w:right="42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8,579,052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40" w:type="dxa"/>
            <w:vAlign w:val="bottom"/>
            <w:tcBorders>
              <w:top w:val="single" w:sz="8" w:color="CCEEFF"/>
            </w:tcBorders>
            <w:shd w:val="clear" w:color="auto" w:fill="CCEEFF"/>
          </w:tcPr>
          <w:p>
            <w:pPr>
              <w:spacing w:after="0"/>
              <w:rPr>
                <w:sz w:val="10"/>
                <w:szCs w:val="10"/>
                <w:color w:val="auto"/>
              </w:rPr>
            </w:pPr>
          </w:p>
        </w:tc>
        <w:tc>
          <w:tcPr>
            <w:tcW w:w="360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36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4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(Loss) income per common share:</w:t>
            </w:r>
          </w:p>
        </w:tc>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440" w:type="dxa"/>
            <w:vAlign w:val="bottom"/>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2"/>
                <w:szCs w:val="12"/>
                <w:color w:val="auto"/>
              </w:rPr>
              <w:t>Basic</w:t>
            </w:r>
          </w:p>
        </w:tc>
        <w:tc>
          <w:tcPr>
            <w:tcW w:w="100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(0.03)</w:t>
            </w:r>
          </w:p>
        </w:tc>
        <w:tc>
          <w:tcPr>
            <w:tcW w:w="5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(0.02)</w:t>
            </w: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(0.09)</w:t>
            </w:r>
          </w:p>
        </w:tc>
        <w:tc>
          <w:tcPr>
            <w:tcW w:w="560" w:type="dxa"/>
            <w:vAlign w:val="bottom"/>
            <w:shd w:val="clear" w:color="auto" w:fill="CCEEFF"/>
          </w:tcPr>
          <w:p>
            <w:pPr>
              <w:jc w:val="right"/>
              <w:ind w:right="420"/>
              <w:spacing w:after="0" w:line="126"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0.93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440" w:type="dxa"/>
            <w:vAlign w:val="bottom"/>
            <w:tcBorders>
              <w:top w:val="single" w:sz="8" w:color="CCEEFF"/>
              <w:bottom w:val="single" w:sz="8" w:color="CCEEFF"/>
            </w:tcBorders>
            <w:gridSpan w:val="2"/>
          </w:tcPr>
          <w:p>
            <w:pPr>
              <w:ind w:left="360"/>
              <w:spacing w:after="0" w:line="113" w:lineRule="exact"/>
              <w:rPr>
                <w:sz w:val="20"/>
                <w:szCs w:val="20"/>
                <w:color w:val="auto"/>
              </w:rPr>
            </w:pPr>
            <w:r>
              <w:rPr>
                <w:rFonts w:ascii="Times New Roman" w:cs="Times New Roman" w:eastAsia="Times New Roman" w:hAnsi="Times New Roman"/>
                <w:sz w:val="12"/>
                <w:szCs w:val="12"/>
                <w:color w:val="auto"/>
              </w:rPr>
              <w:t>Diluted</w:t>
            </w:r>
          </w:p>
        </w:tc>
        <w:tc>
          <w:tcPr>
            <w:tcW w:w="1000" w:type="dxa"/>
            <w:vAlign w:val="bottom"/>
            <w:tcBorders>
              <w:top w:val="single" w:sz="8" w:color="auto"/>
              <w:bottom w:val="single" w:sz="8" w:color="auto"/>
            </w:tcBorders>
          </w:tcPr>
          <w:p>
            <w:pPr>
              <w:jc w:val="right"/>
              <w:ind w:right="885"/>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color w:val="auto"/>
              </w:rPr>
              <w:t>(0.03)</w:t>
            </w:r>
          </w:p>
        </w:tc>
        <w:tc>
          <w:tcPr>
            <w:tcW w:w="180" w:type="dxa"/>
            <w:vAlign w:val="bottom"/>
            <w:tcBorders>
              <w:top w:val="single" w:sz="8" w:color="CCEEFF"/>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446"/>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color w:val="auto"/>
              </w:rPr>
              <w:t>(0.02)</w:t>
            </w:r>
          </w:p>
        </w:tc>
        <w:tc>
          <w:tcPr>
            <w:tcW w:w="180" w:type="dxa"/>
            <w:vAlign w:val="bottom"/>
            <w:tcBorders>
              <w:top w:val="single" w:sz="8" w:color="CCEEFF"/>
              <w:bottom w:val="single" w:sz="8" w:color="CCEEFF"/>
            </w:tcBorders>
          </w:tcPr>
          <w:p>
            <w:pPr>
              <w:spacing w:after="0"/>
              <w:rPr>
                <w:sz w:val="10"/>
                <w:szCs w:val="10"/>
                <w:color w:val="auto"/>
              </w:rPr>
            </w:pPr>
          </w:p>
        </w:tc>
        <w:tc>
          <w:tcPr>
            <w:tcW w:w="360" w:type="dxa"/>
            <w:vAlign w:val="bottom"/>
            <w:tcBorders>
              <w:top w:val="single" w:sz="8" w:color="auto"/>
              <w:bottom w:val="single" w:sz="8" w:color="auto"/>
            </w:tcBorders>
          </w:tcPr>
          <w:p>
            <w:pPr>
              <w:jc w:val="right"/>
              <w:ind w:right="246"/>
              <w:spacing w:after="0" w:line="113"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color w:val="auto"/>
              </w:rPr>
              <w:t>(0.09)</w:t>
            </w:r>
          </w:p>
        </w:tc>
        <w:tc>
          <w:tcPr>
            <w:tcW w:w="180" w:type="dxa"/>
            <w:vAlign w:val="bottom"/>
            <w:tcBorders>
              <w:top w:val="single" w:sz="8" w:color="CCEEFF"/>
              <w:bottom w:val="single" w:sz="8" w:color="CCEEFF"/>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420"/>
              <w:spacing w:after="0" w:line="113"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color w:val="auto"/>
              </w:rPr>
              <w:t>0.88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shd w:val="clear" w:color="auto" w:fill="CCEEFF"/>
          </w:tcPr>
          <w:p>
            <w:pPr>
              <w:spacing w:after="0"/>
              <w:rPr>
                <w:sz w:val="10"/>
                <w:szCs w:val="10"/>
                <w:color w:val="auto"/>
              </w:rPr>
            </w:pPr>
          </w:p>
        </w:tc>
        <w:tc>
          <w:tcPr>
            <w:tcW w:w="36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44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Weighted-average number of shares:</w:t>
            </w:r>
          </w:p>
        </w:tc>
        <w:tc>
          <w:tcPr>
            <w:tcW w:w="10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4440" w:type="dxa"/>
            <w:vAlign w:val="bottom"/>
            <w:tcBorders>
              <w:bottom w:val="single" w:sz="8" w:color="CCEEFF"/>
            </w:tcBorders>
            <w:gridSpan w:val="2"/>
            <w:shd w:val="clear" w:color="auto" w:fill="CCEEFF"/>
          </w:tcPr>
          <w:p>
            <w:pPr>
              <w:ind w:left="360"/>
              <w:spacing w:after="0" w:line="126" w:lineRule="exact"/>
              <w:rPr>
                <w:sz w:val="20"/>
                <w:szCs w:val="20"/>
                <w:color w:val="auto"/>
              </w:rPr>
            </w:pPr>
            <w:r>
              <w:rPr>
                <w:rFonts w:ascii="Times New Roman" w:cs="Times New Roman" w:eastAsia="Times New Roman" w:hAnsi="Times New Roman"/>
                <w:sz w:val="12"/>
                <w:szCs w:val="12"/>
                <w:color w:val="auto"/>
              </w:rPr>
              <w:t>Basic</w:t>
            </w:r>
          </w:p>
        </w:tc>
        <w:tc>
          <w:tcPr>
            <w:tcW w:w="10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9,254,795</w:t>
            </w:r>
          </w:p>
        </w:tc>
        <w:tc>
          <w:tcPr>
            <w:tcW w:w="1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9,206,135</w:t>
            </w:r>
          </w:p>
        </w:tc>
        <w:tc>
          <w:tcPr>
            <w:tcW w:w="1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9,243,559</w:t>
            </w:r>
          </w:p>
        </w:tc>
        <w:tc>
          <w:tcPr>
            <w:tcW w:w="1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9,183,042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4440" w:type="dxa"/>
            <w:vAlign w:val="bottom"/>
            <w:gridSpan w:val="2"/>
          </w:tcPr>
          <w:p>
            <w:pPr>
              <w:ind w:left="360"/>
              <w:spacing w:after="0" w:line="113" w:lineRule="exact"/>
              <w:rPr>
                <w:sz w:val="20"/>
                <w:szCs w:val="20"/>
                <w:color w:val="auto"/>
              </w:rPr>
            </w:pPr>
            <w:r>
              <w:rPr>
                <w:rFonts w:ascii="Times New Roman" w:cs="Times New Roman" w:eastAsia="Times New Roman" w:hAnsi="Times New Roman"/>
                <w:sz w:val="12"/>
                <w:szCs w:val="12"/>
                <w:color w:val="auto"/>
              </w:rPr>
              <w:t>Diluted</w:t>
            </w:r>
          </w:p>
        </w:tc>
        <w:tc>
          <w:tcPr>
            <w:tcW w:w="10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color w:val="auto"/>
              </w:rPr>
              <w:t>9,254,795</w:t>
            </w:r>
          </w:p>
        </w:tc>
        <w:tc>
          <w:tcPr>
            <w:tcW w:w="1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color w:val="auto"/>
              </w:rPr>
              <w:t>9,206,135</w:t>
            </w: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color w:val="auto"/>
              </w:rPr>
              <w:t>9,243,559</w:t>
            </w:r>
          </w:p>
        </w:tc>
        <w:tc>
          <w:tcPr>
            <w:tcW w:w="18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13" w:lineRule="exact"/>
              <w:rPr>
                <w:sz w:val="20"/>
                <w:szCs w:val="20"/>
                <w:color w:val="auto"/>
              </w:rPr>
            </w:pPr>
            <w:r>
              <w:rPr>
                <w:rFonts w:ascii="Times New Roman" w:cs="Times New Roman" w:eastAsia="Times New Roman" w:hAnsi="Times New Roman"/>
                <w:sz w:val="12"/>
                <w:szCs w:val="12"/>
                <w:color w:val="auto"/>
              </w:rPr>
              <w:t>9,791,627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38"/>
        </w:trPr>
        <w:tc>
          <w:tcPr>
            <w:tcW w:w="76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7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KOSS CORPORATION</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76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CONDENSED CONSOLIDATED STATEMENTS OF CASH FLOWS (Unaudited)</w:t>
            </w:r>
          </w:p>
        </w:tc>
        <w:tc>
          <w:tcPr>
            <w:tcW w:w="10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3"/>
        </w:trPr>
        <w:tc>
          <w:tcPr>
            <w:tcW w:w="840" w:type="dxa"/>
            <w:vAlign w:val="bottom"/>
          </w:tcPr>
          <w:p>
            <w:pPr>
              <w:spacing w:after="0"/>
              <w:rPr>
                <w:sz w:val="23"/>
                <w:szCs w:val="23"/>
                <w:color w:val="auto"/>
              </w:rPr>
            </w:pPr>
          </w:p>
        </w:tc>
        <w:tc>
          <w:tcPr>
            <w:tcW w:w="68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460" w:type="dxa"/>
            <w:vAlign w:val="bottom"/>
            <w:gridSpan w:val="3"/>
          </w:tcPr>
          <w:p>
            <w:pPr>
              <w:jc w:val="right"/>
              <w:ind w:right="106"/>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0"/>
        </w:trPr>
        <w:tc>
          <w:tcPr>
            <w:tcW w:w="840" w:type="dxa"/>
            <w:vAlign w:val="bottom"/>
          </w:tcPr>
          <w:p>
            <w:pPr>
              <w:spacing w:after="0"/>
              <w:rPr>
                <w:sz w:val="13"/>
                <w:szCs w:val="13"/>
                <w:color w:val="auto"/>
              </w:rPr>
            </w:pPr>
          </w:p>
        </w:tc>
        <w:tc>
          <w:tcPr>
            <w:tcW w:w="682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386"/>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1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840" w:type="dxa"/>
            <w:vAlign w:val="bottom"/>
            <w:tcBorders>
              <w:bottom w:val="single" w:sz="8" w:color="CCEEFF"/>
            </w:tcBorders>
          </w:tcPr>
          <w:p>
            <w:pPr>
              <w:spacing w:after="0"/>
              <w:rPr>
                <w:sz w:val="10"/>
                <w:szCs w:val="10"/>
                <w:color w:val="auto"/>
              </w:rPr>
            </w:pPr>
          </w:p>
        </w:tc>
        <w:tc>
          <w:tcPr>
            <w:tcW w:w="682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ind w:right="5"/>
              <w:spacing w:after="0" w:line="115" w:lineRule="exact"/>
              <w:rPr>
                <w:sz w:val="20"/>
                <w:szCs w:val="20"/>
                <w:color w:val="auto"/>
              </w:rPr>
            </w:pPr>
            <w:r>
              <w:rPr>
                <w:rFonts w:ascii="Times New Roman" w:cs="Times New Roman" w:eastAsia="Times New Roman" w:hAnsi="Times New Roman"/>
                <w:sz w:val="12"/>
                <w:szCs w:val="12"/>
                <w:b w:val="1"/>
                <w:bCs w:val="1"/>
                <w:color w:val="auto"/>
              </w:rPr>
              <w:t>2024</w:t>
            </w:r>
          </w:p>
        </w:tc>
        <w:tc>
          <w:tcPr>
            <w:tcW w:w="680" w:type="dxa"/>
            <w:vAlign w:val="bottom"/>
            <w:tcBorders>
              <w:bottom w:val="single" w:sz="8" w:color="auto"/>
            </w:tcBorders>
          </w:tcPr>
          <w:p>
            <w:pPr>
              <w:spacing w:after="0"/>
              <w:rPr>
                <w:sz w:val="10"/>
                <w:szCs w:val="10"/>
                <w:color w:val="auto"/>
              </w:rPr>
            </w:pPr>
          </w:p>
        </w:tc>
        <w:tc>
          <w:tcPr>
            <w:tcW w:w="2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ind w:right="680"/>
              <w:spacing w:after="0" w:line="115"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66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Operating activities:</w:t>
            </w:r>
          </w:p>
        </w:tc>
        <w:tc>
          <w:tcPr>
            <w:tcW w:w="10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Net (loss) income</w:t>
            </w:r>
          </w:p>
        </w:tc>
        <w:tc>
          <w:tcPr>
            <w:tcW w:w="1040" w:type="dxa"/>
            <w:vAlign w:val="bottom"/>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(840,542)</w:t>
            </w:r>
          </w:p>
        </w:tc>
        <w:tc>
          <w:tcPr>
            <w:tcW w:w="580" w:type="dxa"/>
            <w:vAlign w:val="bottom"/>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8,579,052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Adjustments to reconcile net (loss) income to net cash (used in) provided by operating activities:</w:t>
            </w:r>
          </w:p>
        </w:tc>
        <w:tc>
          <w:tcPr>
            <w:tcW w:w="10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2"/>
                <w:szCs w:val="12"/>
                <w:color w:val="auto"/>
              </w:rPr>
              <w:t>(Recovery of) Provision for credit losses</w:t>
            </w:r>
          </w:p>
        </w:tc>
        <w:tc>
          <w:tcPr>
            <w:tcW w:w="1040" w:type="dxa"/>
            <w:vAlign w:val="bottom"/>
          </w:tcPr>
          <w:p>
            <w:pPr>
              <w:spacing w:after="0"/>
              <w:rPr>
                <w:sz w:val="10"/>
                <w:szCs w:val="10"/>
                <w:color w:val="auto"/>
              </w:rPr>
            </w:pPr>
          </w:p>
        </w:tc>
        <w:tc>
          <w:tcPr>
            <w:tcW w:w="8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(4,105)</w:t>
            </w:r>
          </w:p>
        </w:tc>
        <w:tc>
          <w:tcPr>
            <w:tcW w:w="58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40,277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140"/>
              <w:spacing w:after="0" w:line="126" w:lineRule="exact"/>
              <w:rPr>
                <w:sz w:val="20"/>
                <w:szCs w:val="20"/>
                <w:color w:val="auto"/>
              </w:rPr>
            </w:pPr>
            <w:r>
              <w:rPr>
                <w:rFonts w:ascii="Times New Roman" w:cs="Times New Roman" w:eastAsia="Times New Roman" w:hAnsi="Times New Roman"/>
                <w:sz w:val="12"/>
                <w:szCs w:val="12"/>
                <w:color w:val="auto"/>
              </w:rPr>
              <w:t>Depreciation of equipment and leasehold improvements</w:t>
            </w:r>
          </w:p>
        </w:tc>
        <w:tc>
          <w:tcPr>
            <w:tcW w:w="10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142,046</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186,168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2"/>
                <w:szCs w:val="12"/>
                <w:color w:val="auto"/>
              </w:rPr>
              <w:t>Accretion of discount on treasury securities</w:t>
            </w:r>
          </w:p>
        </w:tc>
        <w:tc>
          <w:tcPr>
            <w:tcW w:w="1040" w:type="dxa"/>
            <w:vAlign w:val="bottom"/>
          </w:tcPr>
          <w:p>
            <w:pPr>
              <w:spacing w:after="0"/>
              <w:rPr>
                <w:sz w:val="10"/>
                <w:szCs w:val="10"/>
                <w:color w:val="auto"/>
              </w:rPr>
            </w:pPr>
          </w:p>
        </w:tc>
        <w:tc>
          <w:tcPr>
            <w:tcW w:w="8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(313,704)</w:t>
            </w:r>
          </w:p>
        </w:tc>
        <w:tc>
          <w:tcPr>
            <w:tcW w:w="58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(110,632)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140"/>
              <w:spacing w:after="0" w:line="126" w:lineRule="exact"/>
              <w:rPr>
                <w:sz w:val="20"/>
                <w:szCs w:val="20"/>
                <w:color w:val="auto"/>
              </w:rPr>
            </w:pPr>
            <w:r>
              <w:rPr>
                <w:rFonts w:ascii="Times New Roman" w:cs="Times New Roman" w:eastAsia="Times New Roman" w:hAnsi="Times New Roman"/>
                <w:sz w:val="12"/>
                <w:szCs w:val="12"/>
                <w:color w:val="auto"/>
              </w:rPr>
              <w:t>Noncash operating lease expense</w:t>
            </w:r>
          </w:p>
        </w:tc>
        <w:tc>
          <w:tcPr>
            <w:tcW w:w="10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5,752</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6,391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10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119,937</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243,688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140"/>
              <w:spacing w:after="0" w:line="126" w:lineRule="exact"/>
              <w:rPr>
                <w:sz w:val="20"/>
                <w:szCs w:val="20"/>
                <w:color w:val="auto"/>
              </w:rPr>
            </w:pPr>
            <w:r>
              <w:rPr>
                <w:rFonts w:ascii="Times New Roman" w:cs="Times New Roman" w:eastAsia="Times New Roman" w:hAnsi="Times New Roman"/>
                <w:sz w:val="12"/>
                <w:szCs w:val="12"/>
                <w:color w:val="auto"/>
              </w:rPr>
              <w:t>Change in cash surrender value of life insurance</w:t>
            </w:r>
          </w:p>
        </w:tc>
        <w:tc>
          <w:tcPr>
            <w:tcW w:w="10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(156,644)</w:t>
            </w: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(147,012)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2"/>
                <w:szCs w:val="12"/>
                <w:color w:val="auto"/>
              </w:rPr>
              <w:t>Provision for deferred compensation</w:t>
            </w:r>
          </w:p>
        </w:tc>
        <w:tc>
          <w:tcPr>
            <w:tcW w:w="10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113,387</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62,783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140"/>
              <w:spacing w:after="0" w:line="126" w:lineRule="exact"/>
              <w:rPr>
                <w:sz w:val="20"/>
                <w:szCs w:val="20"/>
                <w:color w:val="auto"/>
              </w:rPr>
            </w:pPr>
            <w:r>
              <w:rPr>
                <w:rFonts w:ascii="Times New Roman" w:cs="Times New Roman" w:eastAsia="Times New Roman" w:hAnsi="Times New Roman"/>
                <w:sz w:val="12"/>
                <w:szCs w:val="12"/>
                <w:color w:val="auto"/>
              </w:rPr>
              <w:t>Loss on disposal of fixed assets</w:t>
            </w:r>
          </w:p>
        </w:tc>
        <w:tc>
          <w:tcPr>
            <w:tcW w:w="10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2,263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2"/>
                <w:szCs w:val="12"/>
                <w:color w:val="auto"/>
              </w:rPr>
              <w:t>Net changes in operating assets and liabilities:</w:t>
            </w: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2"/>
                <w:szCs w:val="12"/>
                <w:color w:val="auto"/>
              </w:rPr>
              <w:t>Accounts receivable</w:t>
            </w:r>
          </w:p>
        </w:tc>
        <w:tc>
          <w:tcPr>
            <w:tcW w:w="10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186,567</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570,932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200"/>
              <w:spacing w:after="0" w:line="126" w:lineRule="exact"/>
              <w:rPr>
                <w:sz w:val="20"/>
                <w:szCs w:val="20"/>
                <w:color w:val="auto"/>
              </w:rPr>
            </w:pPr>
            <w:r>
              <w:rPr>
                <w:rFonts w:ascii="Times New Roman" w:cs="Times New Roman" w:eastAsia="Times New Roman" w:hAnsi="Times New Roman"/>
                <w:sz w:val="12"/>
                <w:szCs w:val="12"/>
                <w:color w:val="auto"/>
              </w:rPr>
              <w:t>Inventories</w:t>
            </w:r>
          </w:p>
        </w:tc>
        <w:tc>
          <w:tcPr>
            <w:tcW w:w="1040" w:type="dxa"/>
            <w:vAlign w:val="bottom"/>
          </w:tcPr>
          <w:p>
            <w:pPr>
              <w:spacing w:after="0"/>
              <w:rPr>
                <w:sz w:val="10"/>
                <w:szCs w:val="10"/>
                <w:color w:val="auto"/>
              </w:rPr>
            </w:pPr>
          </w:p>
        </w:tc>
        <w:tc>
          <w:tcPr>
            <w:tcW w:w="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1,762,436</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1,552,103</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10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(114,762)</w:t>
            </w: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(233,792)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200"/>
              <w:spacing w:after="0" w:line="126" w:lineRule="exact"/>
              <w:rPr>
                <w:sz w:val="20"/>
                <w:szCs w:val="20"/>
                <w:color w:val="auto"/>
              </w:rPr>
            </w:pPr>
            <w:r>
              <w:rPr>
                <w:rFonts w:ascii="Times New Roman" w:cs="Times New Roman" w:eastAsia="Times New Roman" w:hAnsi="Times New Roman"/>
                <w:sz w:val="12"/>
                <w:szCs w:val="12"/>
                <w:color w:val="auto"/>
              </w:rPr>
              <w:t>Interest receivable</w:t>
            </w:r>
          </w:p>
        </w:tc>
        <w:tc>
          <w:tcPr>
            <w:tcW w:w="1040" w:type="dxa"/>
            <w:vAlign w:val="bottom"/>
          </w:tcPr>
          <w:p>
            <w:pPr>
              <w:spacing w:after="0"/>
              <w:rPr>
                <w:sz w:val="10"/>
                <w:szCs w:val="10"/>
                <w:color w:val="auto"/>
              </w:rPr>
            </w:pPr>
          </w:p>
        </w:tc>
        <w:tc>
          <w:tcPr>
            <w:tcW w:w="8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(65,425)</w:t>
            </w:r>
          </w:p>
        </w:tc>
        <w:tc>
          <w:tcPr>
            <w:tcW w:w="58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(56,014)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2"/>
                <w:szCs w:val="12"/>
                <w:color w:val="auto"/>
              </w:rPr>
              <w:t>Income taxes receivable</w:t>
            </w:r>
          </w:p>
        </w:tc>
        <w:tc>
          <w:tcPr>
            <w:tcW w:w="10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(123,877)</w:t>
            </w: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200"/>
              <w:spacing w:after="0" w:line="126" w:lineRule="exact"/>
              <w:rPr>
                <w:sz w:val="20"/>
                <w:szCs w:val="20"/>
                <w:color w:val="auto"/>
              </w:rPr>
            </w:pPr>
            <w:r>
              <w:rPr>
                <w:rFonts w:ascii="Times New Roman" w:cs="Times New Roman" w:eastAsia="Times New Roman" w:hAnsi="Times New Roman"/>
                <w:sz w:val="12"/>
                <w:szCs w:val="12"/>
                <w:color w:val="auto"/>
              </w:rPr>
              <w:t>Income taxes payable</w:t>
            </w:r>
          </w:p>
        </w:tc>
        <w:tc>
          <w:tcPr>
            <w:tcW w:w="1040" w:type="dxa"/>
            <w:vAlign w:val="bottom"/>
          </w:tcPr>
          <w:p>
            <w:pPr>
              <w:spacing w:after="0"/>
              <w:rPr>
                <w:sz w:val="10"/>
                <w:szCs w:val="10"/>
                <w:color w:val="auto"/>
              </w:rPr>
            </w:pPr>
          </w:p>
        </w:tc>
        <w:tc>
          <w:tcPr>
            <w:tcW w:w="8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(81,956)</w:t>
            </w:r>
          </w:p>
        </w:tc>
        <w:tc>
          <w:tcPr>
            <w:tcW w:w="58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247,170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2"/>
                <w:szCs w:val="12"/>
                <w:color w:val="auto"/>
              </w:rPr>
              <w:t>Accounts payable</w:t>
            </w:r>
          </w:p>
        </w:tc>
        <w:tc>
          <w:tcPr>
            <w:tcW w:w="10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(51,808)</w:t>
            </w: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(442,850)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200"/>
              <w:spacing w:after="0" w:line="126" w:lineRule="exact"/>
              <w:rPr>
                <w:sz w:val="20"/>
                <w:szCs w:val="20"/>
                <w:color w:val="auto"/>
              </w:rPr>
            </w:pPr>
            <w:r>
              <w:rPr>
                <w:rFonts w:ascii="Times New Roman" w:cs="Times New Roman" w:eastAsia="Times New Roman" w:hAnsi="Times New Roman"/>
                <w:sz w:val="12"/>
                <w:szCs w:val="12"/>
                <w:color w:val="auto"/>
              </w:rPr>
              <w:t>Accrued liabilities</w:t>
            </w:r>
          </w:p>
        </w:tc>
        <w:tc>
          <w:tcPr>
            <w:tcW w:w="1040" w:type="dxa"/>
            <w:vAlign w:val="bottom"/>
          </w:tcPr>
          <w:p>
            <w:pPr>
              <w:spacing w:after="0"/>
              <w:rPr>
                <w:sz w:val="10"/>
                <w:szCs w:val="10"/>
                <w:color w:val="auto"/>
              </w:rPr>
            </w:pPr>
          </w:p>
        </w:tc>
        <w:tc>
          <w:tcPr>
            <w:tcW w:w="8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(440,742)</w:t>
            </w:r>
          </w:p>
        </w:tc>
        <w:tc>
          <w:tcPr>
            <w:tcW w:w="58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324,507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200"/>
              <w:spacing w:after="0" w:line="126" w:lineRule="exact"/>
              <w:rPr>
                <w:sz w:val="20"/>
                <w:szCs w:val="20"/>
                <w:color w:val="auto"/>
              </w:rPr>
            </w:pPr>
            <w:r>
              <w:rPr>
                <w:rFonts w:ascii="Times New Roman" w:cs="Times New Roman" w:eastAsia="Times New Roman" w:hAnsi="Times New Roman"/>
                <w:sz w:val="12"/>
                <w:szCs w:val="12"/>
                <w:color w:val="auto"/>
              </w:rPr>
              <w:t>Deferred revenue</w:t>
            </w:r>
          </w:p>
        </w:tc>
        <w:tc>
          <w:tcPr>
            <w:tcW w:w="10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(153,118)</w:t>
            </w: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(208,308)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660" w:type="dxa"/>
            <w:vAlign w:val="bottom"/>
            <w:tcBorders>
              <w:bottom w:val="single" w:sz="8" w:color="CCEEFF"/>
            </w:tcBorders>
            <w:gridSpan w:val="2"/>
          </w:tcPr>
          <w:p>
            <w:pPr>
              <w:ind w:left="280"/>
              <w:spacing w:after="0" w:line="115" w:lineRule="exact"/>
              <w:rPr>
                <w:sz w:val="20"/>
                <w:szCs w:val="20"/>
                <w:color w:val="auto"/>
              </w:rPr>
            </w:pPr>
            <w:r>
              <w:rPr>
                <w:rFonts w:ascii="Times New Roman" w:cs="Times New Roman" w:eastAsia="Times New Roman" w:hAnsi="Times New Roman"/>
                <w:sz w:val="12"/>
                <w:szCs w:val="12"/>
                <w:color w:val="auto"/>
              </w:rPr>
              <w:t>Net cash (used in) provided by operating activities</w:t>
            </w:r>
          </w:p>
        </w:tc>
        <w:tc>
          <w:tcPr>
            <w:tcW w:w="104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(16,558)</w:t>
            </w:r>
          </w:p>
        </w:tc>
        <w:tc>
          <w:tcPr>
            <w:tcW w:w="200" w:type="dxa"/>
            <w:vAlign w:val="bottom"/>
            <w:tcBorders>
              <w:bottom w:val="single" w:sz="8" w:color="CCEEFF"/>
            </w:tcBorders>
          </w:tcPr>
          <w:p>
            <w:pPr>
              <w:spacing w:after="0"/>
              <w:rPr>
                <w:sz w:val="10"/>
                <w:szCs w:val="10"/>
                <w:color w:val="auto"/>
              </w:rPr>
            </w:pPr>
          </w:p>
        </w:tc>
        <w:tc>
          <w:tcPr>
            <w:tcW w:w="580" w:type="dxa"/>
            <w:vAlign w:val="bottom"/>
            <w:tcBorders>
              <w:top w:val="single" w:sz="8" w:color="auto"/>
              <w:bottom w:val="single" w:sz="8" w:color="auto"/>
            </w:tcBorders>
          </w:tcPr>
          <w:p>
            <w:pPr>
              <w:spacing w:after="0"/>
              <w:rPr>
                <w:sz w:val="10"/>
                <w:szCs w:val="10"/>
                <w:color w:val="auto"/>
              </w:rPr>
            </w:pPr>
          </w:p>
        </w:tc>
        <w:tc>
          <w:tcPr>
            <w:tcW w:w="114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10,616,726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shd w:val="clear" w:color="auto" w:fill="CCEEFF"/>
          </w:tcPr>
          <w:p>
            <w:pPr>
              <w:spacing w:after="0"/>
              <w:rPr>
                <w:sz w:val="10"/>
                <w:szCs w:val="10"/>
                <w:color w:val="auto"/>
              </w:rPr>
            </w:pPr>
          </w:p>
        </w:tc>
        <w:tc>
          <w:tcPr>
            <w:tcW w:w="68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Investing activities:</w:t>
            </w: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Purchase of equipment and leasehold improvements</w:t>
            </w:r>
          </w:p>
        </w:tc>
        <w:tc>
          <w:tcPr>
            <w:tcW w:w="10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(460,960)</w:t>
            </w: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(68,242)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Life insurance premiums paid</w:t>
            </w:r>
          </w:p>
        </w:tc>
        <w:tc>
          <w:tcPr>
            <w:tcW w:w="1040" w:type="dxa"/>
            <w:vAlign w:val="bottom"/>
          </w:tcPr>
          <w:p>
            <w:pPr>
              <w:spacing w:after="0"/>
              <w:rPr>
                <w:sz w:val="10"/>
                <w:szCs w:val="10"/>
                <w:color w:val="auto"/>
              </w:rPr>
            </w:pPr>
          </w:p>
        </w:tc>
        <w:tc>
          <w:tcPr>
            <w:tcW w:w="8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(81,744)</w:t>
            </w:r>
          </w:p>
        </w:tc>
        <w:tc>
          <w:tcPr>
            <w:tcW w:w="58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(87,994)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Proceeds from the maturity of treasury securities</w:t>
            </w:r>
          </w:p>
        </w:tc>
        <w:tc>
          <w:tcPr>
            <w:tcW w:w="104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14,331,000</w:t>
            </w: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Purchases of treasury securities</w:t>
            </w:r>
          </w:p>
        </w:tc>
        <w:tc>
          <w:tcPr>
            <w:tcW w:w="1040" w:type="dxa"/>
            <w:vAlign w:val="bottom"/>
          </w:tcPr>
          <w:p>
            <w:pPr>
              <w:spacing w:after="0"/>
              <w:rPr>
                <w:sz w:val="10"/>
                <w:szCs w:val="10"/>
                <w:color w:val="auto"/>
              </w:rPr>
            </w:pPr>
          </w:p>
        </w:tc>
        <w:tc>
          <w:tcPr>
            <w:tcW w:w="88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(13,985,921)</w:t>
            </w:r>
          </w:p>
        </w:tc>
        <w:tc>
          <w:tcPr>
            <w:tcW w:w="580" w:type="dxa"/>
            <w:vAlign w:val="bottom"/>
          </w:tcPr>
          <w:p>
            <w:pPr>
              <w:spacing w:after="0"/>
              <w:rPr>
                <w:sz w:val="10"/>
                <w:szCs w:val="10"/>
                <w:color w:val="auto"/>
              </w:rPr>
            </w:pPr>
          </w:p>
        </w:tc>
        <w:tc>
          <w:tcPr>
            <w:tcW w:w="11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(16,884,358)</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660" w:type="dxa"/>
            <w:vAlign w:val="bottom"/>
            <w:tcBorders>
              <w:top w:val="single" w:sz="8" w:color="CCEEFF"/>
            </w:tcBorders>
            <w:gridSpan w:val="2"/>
            <w:shd w:val="clear" w:color="auto" w:fill="CCEEFF"/>
          </w:tcPr>
          <w:p>
            <w:pPr>
              <w:ind w:left="280"/>
              <w:spacing w:after="0" w:line="115"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1040" w:type="dxa"/>
            <w:vAlign w:val="bottom"/>
            <w:tcBorders>
              <w:top w:val="single" w:sz="8" w:color="auto"/>
              <w:bottom w:val="single" w:sz="8" w:color="auto"/>
            </w:tcBorders>
            <w:shd w:val="clear" w:color="auto" w:fill="CCEEFF"/>
          </w:tcPr>
          <w:p>
            <w:pPr>
              <w:spacing w:after="0"/>
              <w:rPr>
                <w:sz w:val="10"/>
                <w:szCs w:val="10"/>
                <w:color w:val="auto"/>
              </w:rPr>
            </w:pPr>
          </w:p>
        </w:tc>
        <w:tc>
          <w:tcPr>
            <w:tcW w:w="68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(197,625)</w:t>
            </w: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bottom w:val="single" w:sz="8" w:color="auto"/>
            </w:tcBorders>
            <w:shd w:val="clear" w:color="auto" w:fill="CCEEFF"/>
          </w:tcPr>
          <w:p>
            <w:pPr>
              <w:spacing w:after="0"/>
              <w:rPr>
                <w:sz w:val="10"/>
                <w:szCs w:val="10"/>
                <w:color w:val="auto"/>
              </w:rPr>
            </w:pPr>
          </w:p>
        </w:tc>
        <w:tc>
          <w:tcPr>
            <w:tcW w:w="11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(17,040,594)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Financing activities:</w:t>
            </w:r>
          </w:p>
        </w:tc>
        <w:tc>
          <w:tcPr>
            <w:tcW w:w="10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tcBorders>
              <w:bottom w:val="single" w:sz="8" w:color="CCEEFF"/>
            </w:tcBorders>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Proceeds from exercise of stock options</w:t>
            </w:r>
          </w:p>
        </w:tc>
        <w:tc>
          <w:tcPr>
            <w:tcW w:w="10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35,800</w:t>
            </w:r>
          </w:p>
        </w:tc>
        <w:tc>
          <w:tcPr>
            <w:tcW w:w="2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137,330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7660" w:type="dxa"/>
            <w:vAlign w:val="bottom"/>
            <w:gridSpan w:val="2"/>
            <w:shd w:val="clear" w:color="auto" w:fill="CCEEFF"/>
          </w:tcPr>
          <w:p>
            <w:pPr>
              <w:ind w:left="280"/>
              <w:spacing w:after="0" w:line="115"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104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35,800</w:t>
            </w:r>
          </w:p>
        </w:tc>
        <w:tc>
          <w:tcPr>
            <w:tcW w:w="200" w:type="dxa"/>
            <w:vAlign w:val="bottom"/>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spacing w:after="0"/>
              <w:rPr>
                <w:sz w:val="10"/>
                <w:szCs w:val="10"/>
                <w:color w:val="auto"/>
              </w:rPr>
            </w:pPr>
          </w:p>
        </w:tc>
        <w:tc>
          <w:tcPr>
            <w:tcW w:w="114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137,330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4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Net (decrease) in cash and cash equivalents</w:t>
            </w:r>
          </w:p>
        </w:tc>
        <w:tc>
          <w:tcPr>
            <w:tcW w:w="10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(178,383)</w:t>
            </w:r>
          </w:p>
        </w:tc>
        <w:tc>
          <w:tcPr>
            <w:tcW w:w="580" w:type="dxa"/>
            <w:vAlign w:val="bottom"/>
            <w:shd w:val="clear" w:color="auto" w:fill="CCEEFF"/>
          </w:tcPr>
          <w:p>
            <w:pPr>
              <w:spacing w:after="0"/>
              <w:rPr>
                <w:sz w:val="10"/>
                <w:szCs w:val="10"/>
                <w:color w:val="auto"/>
              </w:rPr>
            </w:pPr>
          </w:p>
        </w:tc>
        <w:tc>
          <w:tcPr>
            <w:tcW w:w="11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(6,286,538)</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7660" w:type="dxa"/>
            <w:vAlign w:val="bottom"/>
            <w:tcBorders>
              <w:bottom w:val="single" w:sz="8" w:color="CCEEFF"/>
            </w:tcBorders>
            <w:gridSpan w:val="2"/>
          </w:tcPr>
          <w:p>
            <w:pPr>
              <w:spacing w:after="0" w:line="126" w:lineRule="exact"/>
              <w:rPr>
                <w:sz w:val="20"/>
                <w:szCs w:val="20"/>
                <w:color w:val="auto"/>
              </w:rPr>
            </w:pPr>
            <w:r>
              <w:rPr>
                <w:rFonts w:ascii="Times New Roman" w:cs="Times New Roman" w:eastAsia="Times New Roman" w:hAnsi="Times New Roman"/>
                <w:sz w:val="12"/>
                <w:szCs w:val="12"/>
                <w:color w:val="auto"/>
              </w:rPr>
              <w:t>Cash and cash equivalents at beginning of period</w:t>
            </w:r>
          </w:p>
        </w:tc>
        <w:tc>
          <w:tcPr>
            <w:tcW w:w="10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3,091,062</w:t>
            </w:r>
          </w:p>
        </w:tc>
        <w:tc>
          <w:tcPr>
            <w:tcW w:w="200" w:type="dxa"/>
            <w:vAlign w:val="bottom"/>
            <w:tcBorders>
              <w:bottom w:val="single" w:sz="8" w:color="CCEEFF"/>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9,208,170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660" w:type="dxa"/>
            <w:vAlign w:val="bottom"/>
            <w:tcBorders>
              <w:bottom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Cash and cash equivalents at end of period</w:t>
            </w:r>
          </w:p>
        </w:tc>
        <w:tc>
          <w:tcPr>
            <w:tcW w:w="1040" w:type="dxa"/>
            <w:vAlign w:val="bottom"/>
            <w:tcBorders>
              <w:bottom w:val="single" w:sz="8" w:color="auto"/>
            </w:tcBorders>
            <w:shd w:val="clear" w:color="auto" w:fill="CCEEFF"/>
          </w:tcPr>
          <w:p>
            <w:pPr>
              <w:jc w:val="right"/>
              <w:ind w:right="925"/>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2,912,679</w:t>
            </w:r>
          </w:p>
        </w:tc>
        <w:tc>
          <w:tcPr>
            <w:tcW w:w="2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ind w:right="4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2,921,632</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84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Supplemental cash flow information:</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6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2"/>
                <w:szCs w:val="12"/>
                <w:color w:val="auto"/>
              </w:rPr>
              <w:t>Cash paid for income taxes</w:t>
            </w:r>
          </w:p>
        </w:tc>
        <w:tc>
          <w:tcPr>
            <w:tcW w:w="1040" w:type="dxa"/>
            <w:vAlign w:val="bottom"/>
            <w:tcBorders>
              <w:bottom w:val="single" w:sz="8" w:color="auto"/>
            </w:tcBorders>
          </w:tcPr>
          <w:p>
            <w:pPr>
              <w:jc w:val="right"/>
              <w:ind w:right="92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128,463</w:t>
            </w:r>
          </w:p>
        </w:tc>
        <w:tc>
          <w:tcPr>
            <w:tcW w:w="200" w:type="dxa"/>
            <w:vAlign w:val="bottom"/>
          </w:tcPr>
          <w:p>
            <w:pPr>
              <w:spacing w:after="0"/>
              <w:rPr>
                <w:sz w:val="12"/>
                <w:szCs w:val="12"/>
                <w:color w:val="auto"/>
              </w:rPr>
            </w:pPr>
          </w:p>
        </w:tc>
        <w:tc>
          <w:tcPr>
            <w:tcW w:w="5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216,759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38"/>
        </w:trPr>
        <w:tc>
          <w:tcPr>
            <w:tcW w:w="342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374"/>
        </w:trPr>
        <w:tc>
          <w:tcPr>
            <w:tcW w:w="3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KOSS CORPORATION</w:t>
            </w: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55"/>
        </w:trPr>
        <w:tc>
          <w:tcPr>
            <w:tcW w:w="480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CONDENSED CONSOLIDATED STATEMENTS OF STOCKHOLDERS’ EQUITY (Unaudited)</w:t>
            </w:r>
          </w:p>
        </w:tc>
        <w:tc>
          <w:tcPr>
            <w:tcW w:w="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306"/>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rPr>
              <w:t>Nine Months Ended March 31, 2024</w:t>
            </w: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15"/>
        </w:trPr>
        <w:tc>
          <w:tcPr>
            <w:tcW w:w="8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5"/>
          </w:tcPr>
          <w:p>
            <w:pPr>
              <w:ind w:left="980"/>
              <w:spacing w:after="0" w:line="115"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4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ind w:left="240"/>
              <w:spacing w:after="0" w:line="11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ind w:left="160"/>
              <w:spacing w:after="0" w:line="11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15"/>
        </w:trPr>
        <w:tc>
          <w:tcPr>
            <w:tcW w:w="8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3"/>
          </w:tcPr>
          <w:p>
            <w:pPr>
              <w:ind w:left="40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0"/>
                <w:szCs w:val="10"/>
                <w:color w:val="auto"/>
              </w:rPr>
            </w:pPr>
          </w:p>
        </w:tc>
        <w:tc>
          <w:tcPr>
            <w:tcW w:w="940" w:type="dxa"/>
            <w:vAlign w:val="bottom"/>
          </w:tcPr>
          <w:p>
            <w:pPr>
              <w:ind w:left="460"/>
              <w:spacing w:after="0" w:line="115" w:lineRule="exact"/>
              <w:rPr>
                <w:sz w:val="20"/>
                <w:szCs w:val="20"/>
                <w:color w:val="auto"/>
              </w:rPr>
            </w:pPr>
            <w:r>
              <w:rPr>
                <w:rFonts w:ascii="Times New Roman" w:cs="Times New Roman" w:eastAsia="Times New Roman" w:hAnsi="Times New Roman"/>
                <w:sz w:val="12"/>
                <w:szCs w:val="12"/>
                <w:b w:val="1"/>
                <w:bCs w:val="1"/>
                <w:color w:val="auto"/>
              </w:rPr>
              <w:t>Amount</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ind w:left="240"/>
              <w:spacing w:after="0" w:line="115" w:lineRule="exact"/>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ind w:left="160"/>
              <w:spacing w:after="0" w:line="115"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ind w:right="580"/>
              <w:spacing w:after="0" w:line="115"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15"/>
        </w:trPr>
        <w:tc>
          <w:tcPr>
            <w:tcW w:w="342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Balance, June 30, 2023</w:t>
            </w:r>
          </w:p>
        </w:tc>
        <w:tc>
          <w:tcPr>
            <w:tcW w:w="12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9,234,795</w:t>
            </w: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gridSpan w:val="2"/>
            <w:shd w:val="clear" w:color="auto" w:fill="CCEEFF"/>
          </w:tcPr>
          <w:p>
            <w:pPr>
              <w:jc w:val="center"/>
              <w:ind w:right="862"/>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46,174</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13,113,993</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gridSpan w:val="2"/>
            <w:shd w:val="clear" w:color="auto" w:fill="CCEEFF"/>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18,647,111</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gridSpan w:val="2"/>
            <w:shd w:val="clear" w:color="auto" w:fill="CCEEFF"/>
          </w:tcPr>
          <w:p>
            <w:pPr>
              <w:jc w:val="right"/>
              <w:ind w:right="2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31,807,278</w:t>
            </w:r>
          </w:p>
        </w:tc>
      </w:tr>
      <w:tr>
        <w:trPr>
          <w:trHeight w:val="126"/>
        </w:trPr>
        <w:tc>
          <w:tcPr>
            <w:tcW w:w="342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Net (loss)</w:t>
            </w:r>
          </w:p>
        </w:tc>
        <w:tc>
          <w:tcPr>
            <w:tcW w:w="20" w:type="dxa"/>
            <w:vAlign w:val="bottom"/>
          </w:tcPr>
          <w:p>
            <w:pPr>
              <w:spacing w:after="0"/>
              <w:rPr>
                <w:sz w:val="10"/>
                <w:szCs w:val="10"/>
                <w:color w:val="auto"/>
              </w:rPr>
            </w:pPr>
          </w:p>
        </w:tc>
        <w:tc>
          <w:tcPr>
            <w:tcW w:w="1360" w:type="dxa"/>
            <w:vAlign w:val="bottom"/>
            <w:gridSpan w:val="3"/>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gridSpan w:val="3"/>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2"/>
                <w:szCs w:val="12"/>
                <w:color w:val="auto"/>
              </w:rPr>
              <w:t>(840,542)</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(840,542)</w:t>
            </w:r>
          </w:p>
        </w:tc>
      </w:tr>
      <w:tr>
        <w:trPr>
          <w:trHeight w:val="126"/>
        </w:trPr>
        <w:tc>
          <w:tcPr>
            <w:tcW w:w="3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20" w:type="dxa"/>
            <w:vAlign w:val="bottom"/>
            <w:shd w:val="clear" w:color="auto" w:fill="CCEEFF"/>
          </w:tcPr>
          <w:p>
            <w:pPr>
              <w:spacing w:after="0"/>
              <w:rPr>
                <w:sz w:val="10"/>
                <w:szCs w:val="10"/>
                <w:color w:val="auto"/>
              </w:rPr>
            </w:pPr>
          </w:p>
        </w:tc>
        <w:tc>
          <w:tcPr>
            <w:tcW w:w="1360" w:type="dxa"/>
            <w:vAlign w:val="bottom"/>
            <w:gridSpan w:val="3"/>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119,937</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3"/>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119,937</w:t>
            </w:r>
          </w:p>
        </w:tc>
      </w:tr>
      <w:tr>
        <w:trPr>
          <w:trHeight w:val="126"/>
        </w:trPr>
        <w:tc>
          <w:tcPr>
            <w:tcW w:w="342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Stock option exercises</w:t>
            </w:r>
          </w:p>
        </w:tc>
        <w:tc>
          <w:tcPr>
            <w:tcW w:w="1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20,000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100</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35,700</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35,800</w:t>
            </w:r>
          </w:p>
        </w:tc>
      </w:tr>
      <w:tr>
        <w:trPr>
          <w:trHeight w:val="122"/>
        </w:trPr>
        <w:tc>
          <w:tcPr>
            <w:tcW w:w="3420" w:type="dxa"/>
            <w:vAlign w:val="bottom"/>
            <w:tcBorders>
              <w:top w:val="single" w:sz="8" w:color="CCEEFF"/>
              <w:bottom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Balance, March 31, 2024</w:t>
            </w:r>
          </w:p>
        </w:tc>
        <w:tc>
          <w:tcPr>
            <w:tcW w:w="120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9,254,795</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gridSpan w:val="2"/>
            <w:shd w:val="clear" w:color="auto" w:fill="CCEEFF"/>
          </w:tcPr>
          <w:p>
            <w:pPr>
              <w:jc w:val="center"/>
              <w:ind w:right="862"/>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46,274</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13,269,630</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gridSpan w:val="2"/>
            <w:shd w:val="clear" w:color="auto" w:fill="CCEEFF"/>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17,806,569</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gridSpan w:val="2"/>
            <w:shd w:val="clear" w:color="auto" w:fill="CCEEFF"/>
          </w:tcPr>
          <w:p>
            <w:pPr>
              <w:jc w:val="right"/>
              <w:ind w:right="2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31,122,473</w:t>
            </w:r>
          </w:p>
        </w:tc>
      </w:tr>
      <w:tr>
        <w:trPr>
          <w:trHeight w:val="432"/>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2"/>
                <w:szCs w:val="12"/>
                <w:b w:val="1"/>
                <w:bCs w:val="1"/>
                <w:color w:val="auto"/>
              </w:rPr>
              <w:t>Nine Months Ended March 31, 2023</w:t>
            </w: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15"/>
        </w:trPr>
        <w:tc>
          <w:tcPr>
            <w:tcW w:w="8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5"/>
          </w:tcPr>
          <w:p>
            <w:pPr>
              <w:ind w:left="980"/>
              <w:spacing w:after="0" w:line="115"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4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ind w:left="240"/>
              <w:spacing w:after="0" w:line="11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ind w:left="160"/>
              <w:spacing w:after="0" w:line="11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15"/>
        </w:trPr>
        <w:tc>
          <w:tcPr>
            <w:tcW w:w="8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3"/>
          </w:tcPr>
          <w:p>
            <w:pPr>
              <w:ind w:left="40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0"/>
                <w:szCs w:val="10"/>
                <w:color w:val="auto"/>
              </w:rPr>
            </w:pPr>
          </w:p>
        </w:tc>
        <w:tc>
          <w:tcPr>
            <w:tcW w:w="940" w:type="dxa"/>
            <w:vAlign w:val="bottom"/>
          </w:tcPr>
          <w:p>
            <w:pPr>
              <w:ind w:left="460"/>
              <w:spacing w:after="0" w:line="115" w:lineRule="exact"/>
              <w:rPr>
                <w:sz w:val="20"/>
                <w:szCs w:val="20"/>
                <w:color w:val="auto"/>
              </w:rPr>
            </w:pPr>
            <w:r>
              <w:rPr>
                <w:rFonts w:ascii="Times New Roman" w:cs="Times New Roman" w:eastAsia="Times New Roman" w:hAnsi="Times New Roman"/>
                <w:sz w:val="12"/>
                <w:szCs w:val="12"/>
                <w:b w:val="1"/>
                <w:bCs w:val="1"/>
                <w:color w:val="auto"/>
              </w:rPr>
              <w:t>Amount</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ind w:left="240"/>
              <w:spacing w:after="0" w:line="115" w:lineRule="exact"/>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ind w:left="160"/>
              <w:spacing w:after="0" w:line="115"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ind w:right="580"/>
              <w:spacing w:after="0" w:line="115"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15"/>
        </w:trPr>
        <w:tc>
          <w:tcPr>
            <w:tcW w:w="342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Balance, June 30, 2022</w:t>
            </w:r>
          </w:p>
        </w:tc>
        <w:tc>
          <w:tcPr>
            <w:tcW w:w="12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9,147,795</w:t>
            </w: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gridSpan w:val="2"/>
            <w:shd w:val="clear" w:color="auto" w:fill="CCEEFF"/>
          </w:tcPr>
          <w:p>
            <w:pPr>
              <w:jc w:val="center"/>
              <w:ind w:right="862"/>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45,739</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12,653,402</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gridSpan w:val="2"/>
            <w:shd w:val="clear" w:color="auto" w:fill="CCEEFF"/>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10,327,899</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gridSpan w:val="2"/>
            <w:shd w:val="clear" w:color="auto" w:fill="CCEEFF"/>
          </w:tcPr>
          <w:p>
            <w:pPr>
              <w:jc w:val="right"/>
              <w:ind w:right="2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23,027,040</w:t>
            </w:r>
          </w:p>
        </w:tc>
      </w:tr>
      <w:tr>
        <w:trPr>
          <w:trHeight w:val="126"/>
        </w:trPr>
        <w:tc>
          <w:tcPr>
            <w:tcW w:w="342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Net income</w:t>
            </w:r>
          </w:p>
        </w:tc>
        <w:tc>
          <w:tcPr>
            <w:tcW w:w="20" w:type="dxa"/>
            <w:vAlign w:val="bottom"/>
          </w:tcPr>
          <w:p>
            <w:pPr>
              <w:spacing w:after="0"/>
              <w:rPr>
                <w:sz w:val="10"/>
                <w:szCs w:val="10"/>
                <w:color w:val="auto"/>
              </w:rPr>
            </w:pPr>
          </w:p>
        </w:tc>
        <w:tc>
          <w:tcPr>
            <w:tcW w:w="1360" w:type="dxa"/>
            <w:vAlign w:val="bottom"/>
            <w:gridSpan w:val="3"/>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gridSpan w:val="3"/>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8,579,052</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8,579,052</w:t>
            </w:r>
          </w:p>
        </w:tc>
      </w:tr>
      <w:tr>
        <w:trPr>
          <w:trHeight w:val="126"/>
        </w:trPr>
        <w:tc>
          <w:tcPr>
            <w:tcW w:w="3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20" w:type="dxa"/>
            <w:vAlign w:val="bottom"/>
            <w:shd w:val="clear" w:color="auto" w:fill="CCEEFF"/>
          </w:tcPr>
          <w:p>
            <w:pPr>
              <w:spacing w:after="0"/>
              <w:rPr>
                <w:sz w:val="10"/>
                <w:szCs w:val="10"/>
                <w:color w:val="auto"/>
              </w:rPr>
            </w:pPr>
          </w:p>
        </w:tc>
        <w:tc>
          <w:tcPr>
            <w:tcW w:w="1360" w:type="dxa"/>
            <w:vAlign w:val="bottom"/>
            <w:gridSpan w:val="3"/>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243,688</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3"/>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243,688</w:t>
            </w:r>
          </w:p>
        </w:tc>
      </w:tr>
      <w:tr>
        <w:trPr>
          <w:trHeight w:val="126"/>
        </w:trPr>
        <w:tc>
          <w:tcPr>
            <w:tcW w:w="342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Stock option exercises</w:t>
            </w:r>
          </w:p>
        </w:tc>
        <w:tc>
          <w:tcPr>
            <w:tcW w:w="1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69,000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345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136,985</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137,330</w:t>
            </w:r>
          </w:p>
        </w:tc>
      </w:tr>
      <w:tr>
        <w:trPr>
          <w:trHeight w:val="122"/>
        </w:trPr>
        <w:tc>
          <w:tcPr>
            <w:tcW w:w="3420" w:type="dxa"/>
            <w:vAlign w:val="bottom"/>
            <w:tcBorders>
              <w:top w:val="single" w:sz="8" w:color="CCEEFF"/>
              <w:bottom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Balance, March 31, 2023</w:t>
            </w:r>
          </w:p>
        </w:tc>
        <w:tc>
          <w:tcPr>
            <w:tcW w:w="120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9,216,795</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gridSpan w:val="2"/>
            <w:shd w:val="clear" w:color="auto" w:fill="CCEEFF"/>
          </w:tcPr>
          <w:p>
            <w:pPr>
              <w:jc w:val="center"/>
              <w:ind w:right="862"/>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46,084</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13,034,075</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gridSpan w:val="2"/>
            <w:shd w:val="clear" w:color="auto" w:fill="CCEEFF"/>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18,906,951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gridSpan w:val="2"/>
            <w:shd w:val="clear" w:color="auto" w:fill="CCEEFF"/>
          </w:tcPr>
          <w:p>
            <w:pPr>
              <w:jc w:val="right"/>
              <w:ind w:right="2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31,987,110</w:t>
            </w:r>
          </w:p>
        </w:tc>
      </w:tr>
      <w:tr>
        <w:trPr>
          <w:trHeight w:val="414"/>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2"/>
                <w:szCs w:val="12"/>
                <w:b w:val="1"/>
                <w:bCs w:val="1"/>
                <w:color w:val="auto"/>
              </w:rPr>
              <w:t>Three Months Ended March 31, 2024</w:t>
            </w: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15"/>
        </w:trPr>
        <w:tc>
          <w:tcPr>
            <w:tcW w:w="8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bottom w:val="single" w:sz="8" w:color="auto"/>
            </w:tcBorders>
            <w:gridSpan w:val="5"/>
          </w:tcPr>
          <w:p>
            <w:pPr>
              <w:jc w:val="center"/>
              <w:ind w:left="380"/>
              <w:spacing w:after="0" w:line="115" w:lineRule="exact"/>
              <w:rPr>
                <w:sz w:val="20"/>
                <w:szCs w:val="20"/>
                <w:color w:val="auto"/>
              </w:rPr>
            </w:pPr>
            <w:r>
              <w:rPr>
                <w:rFonts w:ascii="Times New Roman" w:cs="Times New Roman" w:eastAsia="Times New Roman" w:hAnsi="Times New Roman"/>
                <w:sz w:val="12"/>
                <w:szCs w:val="12"/>
                <w:b w:val="1"/>
                <w:bCs w:val="1"/>
                <w:color w:val="auto"/>
                <w:w w:val="98"/>
              </w:rPr>
              <w:t>Common Stock</w:t>
            </w:r>
          </w:p>
        </w:tc>
        <w:tc>
          <w:tcPr>
            <w:tcW w:w="4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ind w:left="300"/>
              <w:spacing w:after="0" w:line="11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ind w:left="220"/>
              <w:spacing w:after="0" w:line="11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15"/>
        </w:trPr>
        <w:tc>
          <w:tcPr>
            <w:tcW w:w="8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3"/>
          </w:tcPr>
          <w:p>
            <w:pPr>
              <w:ind w:left="42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0"/>
                <w:szCs w:val="10"/>
                <w:color w:val="auto"/>
              </w:rPr>
            </w:pPr>
          </w:p>
        </w:tc>
        <w:tc>
          <w:tcPr>
            <w:tcW w:w="940" w:type="dxa"/>
            <w:vAlign w:val="bottom"/>
          </w:tcPr>
          <w:p>
            <w:pPr>
              <w:ind w:left="500"/>
              <w:spacing w:after="0" w:line="115" w:lineRule="exact"/>
              <w:rPr>
                <w:sz w:val="20"/>
                <w:szCs w:val="20"/>
                <w:color w:val="auto"/>
              </w:rPr>
            </w:pPr>
            <w:r>
              <w:rPr>
                <w:rFonts w:ascii="Times New Roman" w:cs="Times New Roman" w:eastAsia="Times New Roman" w:hAnsi="Times New Roman"/>
                <w:sz w:val="12"/>
                <w:szCs w:val="12"/>
                <w:b w:val="1"/>
                <w:bCs w:val="1"/>
                <w:color w:val="auto"/>
                <w:w w:val="99"/>
              </w:rPr>
              <w:t>Amount</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ind w:left="280"/>
              <w:spacing w:after="0" w:line="115" w:lineRule="exact"/>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ind w:left="220"/>
              <w:spacing w:after="0" w:line="115"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ind w:right="560"/>
              <w:spacing w:after="0" w:line="115"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15"/>
        </w:trPr>
        <w:tc>
          <w:tcPr>
            <w:tcW w:w="342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Balance, December 31, 2023</w:t>
            </w:r>
          </w:p>
        </w:tc>
        <w:tc>
          <w:tcPr>
            <w:tcW w:w="20" w:type="dxa"/>
            <w:vAlign w:val="bottom"/>
            <w:tcBorders>
              <w:top w:val="single" w:sz="8" w:color="CCEEFF"/>
            </w:tcBorders>
            <w:shd w:val="clear" w:color="auto" w:fill="CCEEFF"/>
          </w:tcPr>
          <w:p>
            <w:pPr>
              <w:spacing w:after="0"/>
              <w:rPr>
                <w:sz w:val="10"/>
                <w:szCs w:val="10"/>
                <w:color w:val="auto"/>
              </w:rPr>
            </w:pPr>
          </w:p>
        </w:tc>
        <w:tc>
          <w:tcPr>
            <w:tcW w:w="118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9,254,795</w:t>
            </w:r>
          </w:p>
        </w:tc>
        <w:tc>
          <w:tcPr>
            <w:tcW w:w="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jc w:val="right"/>
              <w:ind w:right="822"/>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2"/>
                <w:szCs w:val="12"/>
                <w:color w:val="auto"/>
              </w:rPr>
              <w:t>46,274</w:t>
            </w:r>
          </w:p>
        </w:tc>
        <w:tc>
          <w:tcPr>
            <w:tcW w:w="16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top w:val="single" w:sz="8" w:color="auto"/>
            </w:tcBorders>
            <w:gridSpan w:val="2"/>
            <w:shd w:val="clear" w:color="auto" w:fill="CCEEFF"/>
          </w:tcPr>
          <w:p>
            <w:pPr>
              <w:jc w:val="right"/>
              <w:ind w:right="40"/>
              <w:spacing w:after="0" w:line="115" w:lineRule="exact"/>
              <w:rPr>
                <w:sz w:val="20"/>
                <w:szCs w:val="20"/>
                <w:color w:val="auto"/>
              </w:rPr>
            </w:pPr>
            <w:r>
              <w:rPr>
                <w:rFonts w:ascii="Times New Roman" w:cs="Times New Roman" w:eastAsia="Times New Roman" w:hAnsi="Times New Roman"/>
                <w:sz w:val="12"/>
                <w:szCs w:val="12"/>
                <w:color w:val="auto"/>
              </w:rPr>
              <w:t>13,233,733</w:t>
            </w:r>
          </w:p>
        </w:tc>
        <w:tc>
          <w:tcPr>
            <w:tcW w:w="14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tcBorders>
            <w:gridSpan w:val="2"/>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rPr>
              <w:t>18,120,349</w:t>
            </w: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31,400,356</w:t>
            </w:r>
          </w:p>
        </w:tc>
      </w:tr>
      <w:tr>
        <w:trPr>
          <w:trHeight w:val="126"/>
        </w:trPr>
        <w:tc>
          <w:tcPr>
            <w:tcW w:w="342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Net (loss)</w:t>
            </w:r>
          </w:p>
        </w:tc>
        <w:tc>
          <w:tcPr>
            <w:tcW w:w="20" w:type="dxa"/>
            <w:vAlign w:val="bottom"/>
          </w:tcPr>
          <w:p>
            <w:pPr>
              <w:spacing w:after="0"/>
              <w:rPr>
                <w:sz w:val="10"/>
                <w:szCs w:val="10"/>
                <w:color w:val="auto"/>
              </w:rPr>
            </w:pPr>
          </w:p>
        </w:tc>
        <w:tc>
          <w:tcPr>
            <w:tcW w:w="1360" w:type="dxa"/>
            <w:vAlign w:val="bottom"/>
            <w:gridSpan w:val="3"/>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gridSpan w:val="3"/>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(313,780)</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(313,780)</w:t>
            </w:r>
          </w:p>
        </w:tc>
      </w:tr>
      <w:tr>
        <w:trPr>
          <w:trHeight w:val="126"/>
        </w:trPr>
        <w:tc>
          <w:tcPr>
            <w:tcW w:w="3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20" w:type="dxa"/>
            <w:vAlign w:val="bottom"/>
            <w:shd w:val="clear" w:color="auto" w:fill="CCEEFF"/>
          </w:tcPr>
          <w:p>
            <w:pPr>
              <w:spacing w:after="0"/>
              <w:rPr>
                <w:sz w:val="10"/>
                <w:szCs w:val="10"/>
                <w:color w:val="auto"/>
              </w:rPr>
            </w:pPr>
          </w:p>
        </w:tc>
        <w:tc>
          <w:tcPr>
            <w:tcW w:w="1360" w:type="dxa"/>
            <w:vAlign w:val="bottom"/>
            <w:gridSpan w:val="3"/>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2"/>
                <w:szCs w:val="12"/>
                <w:color w:val="auto"/>
              </w:rPr>
              <w:t>35,897</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3"/>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35,897</w:t>
            </w:r>
          </w:p>
        </w:tc>
      </w:tr>
      <w:tr>
        <w:trPr>
          <w:trHeight w:val="122"/>
        </w:trPr>
        <w:tc>
          <w:tcPr>
            <w:tcW w:w="342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Balance, March 31, 2024</w:t>
            </w:r>
          </w:p>
        </w:tc>
        <w:tc>
          <w:tcPr>
            <w:tcW w:w="20" w:type="dxa"/>
            <w:vAlign w:val="bottom"/>
          </w:tcPr>
          <w:p>
            <w:pPr>
              <w:spacing w:after="0"/>
              <w:rPr>
                <w:sz w:val="10"/>
                <w:szCs w:val="10"/>
                <w:color w:val="auto"/>
              </w:rPr>
            </w:pPr>
          </w:p>
        </w:tc>
        <w:tc>
          <w:tcPr>
            <w:tcW w:w="118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9,254,795</w:t>
            </w:r>
          </w:p>
        </w:tc>
        <w:tc>
          <w:tcPr>
            <w:tcW w:w="20" w:type="dxa"/>
            <w:vAlign w:val="bottom"/>
            <w:tcBorders>
              <w:top w:val="single" w:sz="8" w:color="auto"/>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Borders>
              <w:top w:val="single" w:sz="8" w:color="auto"/>
              <w:bottom w:val="single" w:sz="8" w:color="auto"/>
            </w:tcBorders>
          </w:tcPr>
          <w:p>
            <w:pPr>
              <w:jc w:val="right"/>
              <w:ind w:right="822"/>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gridSpan w:val="2"/>
          </w:tcPr>
          <w:p>
            <w:pPr>
              <w:jc w:val="right"/>
              <w:ind w:right="40"/>
              <w:spacing w:after="0" w:line="115" w:lineRule="exact"/>
              <w:rPr>
                <w:sz w:val="20"/>
                <w:szCs w:val="20"/>
                <w:color w:val="auto"/>
              </w:rPr>
            </w:pPr>
            <w:r>
              <w:rPr>
                <w:rFonts w:ascii="Times New Roman" w:cs="Times New Roman" w:eastAsia="Times New Roman" w:hAnsi="Times New Roman"/>
                <w:sz w:val="12"/>
                <w:szCs w:val="12"/>
                <w:color w:val="auto"/>
              </w:rPr>
              <w:t>46,274</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Borders>
              <w:top w:val="single" w:sz="8" w:color="auto"/>
              <w:bottom w:val="single" w:sz="8" w:color="auto"/>
            </w:tcBorders>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60" w:type="dxa"/>
            <w:vAlign w:val="bottom"/>
            <w:tcBorders>
              <w:top w:val="single" w:sz="8" w:color="auto"/>
              <w:bottom w:val="single" w:sz="8" w:color="auto"/>
            </w:tcBorders>
            <w:gridSpan w:val="2"/>
          </w:tcPr>
          <w:p>
            <w:pPr>
              <w:jc w:val="right"/>
              <w:ind w:right="40"/>
              <w:spacing w:after="0" w:line="115" w:lineRule="exact"/>
              <w:rPr>
                <w:sz w:val="20"/>
                <w:szCs w:val="20"/>
                <w:color w:val="auto"/>
              </w:rPr>
            </w:pPr>
            <w:r>
              <w:rPr>
                <w:rFonts w:ascii="Times New Roman" w:cs="Times New Roman" w:eastAsia="Times New Roman" w:hAnsi="Times New Roman"/>
                <w:sz w:val="12"/>
                <w:szCs w:val="12"/>
                <w:color w:val="auto"/>
              </w:rPr>
              <w:t>13,269,630</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Borders>
              <w:top w:val="single" w:sz="8" w:color="auto"/>
              <w:bottom w:val="single" w:sz="8" w:color="auto"/>
            </w:tcBorders>
          </w:tcPr>
          <w:p>
            <w:pPr>
              <w:jc w:val="right"/>
              <w:ind w:right="1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gridSpan w:val="2"/>
          </w:tcPr>
          <w:p>
            <w:pPr>
              <w:jc w:val="right"/>
              <w:ind w:right="60"/>
              <w:spacing w:after="0" w:line="115" w:lineRule="exact"/>
              <w:rPr>
                <w:sz w:val="20"/>
                <w:szCs w:val="20"/>
                <w:color w:val="auto"/>
              </w:rPr>
            </w:pPr>
            <w:r>
              <w:rPr>
                <w:rFonts w:ascii="Times New Roman" w:cs="Times New Roman" w:eastAsia="Times New Roman" w:hAnsi="Times New Roman"/>
                <w:sz w:val="12"/>
                <w:szCs w:val="12"/>
                <w:color w:val="auto"/>
              </w:rPr>
              <w:t>17,806,569</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Borders>
              <w:top w:val="single" w:sz="8" w:color="auto"/>
              <w:bottom w:val="single" w:sz="8" w:color="auto"/>
            </w:tcBorders>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31,122,473</w:t>
            </w:r>
          </w:p>
        </w:tc>
      </w:tr>
      <w:tr>
        <w:trPr>
          <w:trHeight w:val="405"/>
        </w:trPr>
        <w:tc>
          <w:tcPr>
            <w:tcW w:w="8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2"/>
                <w:szCs w:val="12"/>
                <w:b w:val="1"/>
                <w:bCs w:val="1"/>
                <w:color w:val="auto"/>
              </w:rPr>
              <w:t>Three Months Ended March 31, 2023</w:t>
            </w:r>
          </w:p>
        </w:tc>
        <w:tc>
          <w:tcPr>
            <w:tcW w:w="1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115"/>
        </w:trPr>
        <w:tc>
          <w:tcPr>
            <w:tcW w:w="8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gridSpan w:val="5"/>
          </w:tcPr>
          <w:p>
            <w:pPr>
              <w:ind w:left="980"/>
              <w:spacing w:after="0" w:line="115" w:lineRule="exact"/>
              <w:rPr>
                <w:sz w:val="20"/>
                <w:szCs w:val="20"/>
                <w:color w:val="auto"/>
              </w:rPr>
            </w:pPr>
            <w:r>
              <w:rPr>
                <w:rFonts w:ascii="Times New Roman" w:cs="Times New Roman" w:eastAsia="Times New Roman" w:hAnsi="Times New Roman"/>
                <w:sz w:val="12"/>
                <w:szCs w:val="12"/>
                <w:b w:val="1"/>
                <w:bCs w:val="1"/>
                <w:color w:val="auto"/>
              </w:rPr>
              <w:t>Common Stock</w:t>
            </w:r>
          </w:p>
        </w:tc>
        <w:tc>
          <w:tcPr>
            <w:tcW w:w="42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ind w:left="240"/>
              <w:spacing w:after="0" w:line="115" w:lineRule="exact"/>
              <w:rPr>
                <w:sz w:val="20"/>
                <w:szCs w:val="20"/>
                <w:color w:val="auto"/>
              </w:rPr>
            </w:pPr>
            <w:r>
              <w:rPr>
                <w:rFonts w:ascii="Times New Roman" w:cs="Times New Roman" w:eastAsia="Times New Roman" w:hAnsi="Times New Roman"/>
                <w:sz w:val="12"/>
                <w:szCs w:val="12"/>
                <w:b w:val="1"/>
                <w:bCs w:val="1"/>
                <w:color w:val="auto"/>
              </w:rPr>
              <w:t>Paid in</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ind w:left="160"/>
              <w:spacing w:after="0" w:line="115" w:lineRule="exact"/>
              <w:rPr>
                <w:sz w:val="20"/>
                <w:szCs w:val="20"/>
                <w:color w:val="auto"/>
              </w:rPr>
            </w:pPr>
            <w:r>
              <w:rPr>
                <w:rFonts w:ascii="Times New Roman" w:cs="Times New Roman" w:eastAsia="Times New Roman" w:hAnsi="Times New Roman"/>
                <w:sz w:val="12"/>
                <w:szCs w:val="12"/>
                <w:b w:val="1"/>
                <w:bCs w:val="1"/>
                <w:color w:val="auto"/>
              </w:rPr>
              <w:t>Retained</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spacing w:after="0"/>
              <w:rPr>
                <w:sz w:val="10"/>
                <w:szCs w:val="10"/>
                <w:color w:val="auto"/>
              </w:rPr>
            </w:pPr>
          </w:p>
        </w:tc>
      </w:tr>
      <w:tr>
        <w:trPr>
          <w:trHeight w:val="115"/>
        </w:trPr>
        <w:tc>
          <w:tcPr>
            <w:tcW w:w="84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60" w:type="dxa"/>
            <w:vAlign w:val="bottom"/>
            <w:gridSpan w:val="3"/>
          </w:tcPr>
          <w:p>
            <w:pPr>
              <w:ind w:left="400"/>
              <w:spacing w:after="0" w:line="115" w:lineRule="exact"/>
              <w:rPr>
                <w:sz w:val="20"/>
                <w:szCs w:val="20"/>
                <w:color w:val="auto"/>
              </w:rPr>
            </w:pPr>
            <w:r>
              <w:rPr>
                <w:rFonts w:ascii="Times New Roman" w:cs="Times New Roman" w:eastAsia="Times New Roman" w:hAnsi="Times New Roman"/>
                <w:sz w:val="12"/>
                <w:szCs w:val="12"/>
                <w:b w:val="1"/>
                <w:bCs w:val="1"/>
                <w:color w:val="auto"/>
              </w:rPr>
              <w:t>Shares</w:t>
            </w:r>
          </w:p>
        </w:tc>
        <w:tc>
          <w:tcPr>
            <w:tcW w:w="40" w:type="dxa"/>
            <w:vAlign w:val="bottom"/>
          </w:tcPr>
          <w:p>
            <w:pPr>
              <w:spacing w:after="0"/>
              <w:rPr>
                <w:sz w:val="10"/>
                <w:szCs w:val="10"/>
                <w:color w:val="auto"/>
              </w:rPr>
            </w:pPr>
          </w:p>
        </w:tc>
        <w:tc>
          <w:tcPr>
            <w:tcW w:w="940" w:type="dxa"/>
            <w:vAlign w:val="bottom"/>
          </w:tcPr>
          <w:p>
            <w:pPr>
              <w:ind w:left="460"/>
              <w:spacing w:after="0" w:line="115" w:lineRule="exact"/>
              <w:rPr>
                <w:sz w:val="20"/>
                <w:szCs w:val="20"/>
                <w:color w:val="auto"/>
              </w:rPr>
            </w:pPr>
            <w:r>
              <w:rPr>
                <w:rFonts w:ascii="Times New Roman" w:cs="Times New Roman" w:eastAsia="Times New Roman" w:hAnsi="Times New Roman"/>
                <w:sz w:val="12"/>
                <w:szCs w:val="12"/>
                <w:b w:val="1"/>
                <w:bCs w:val="1"/>
                <w:color w:val="auto"/>
              </w:rPr>
              <w:t>Amount</w:t>
            </w: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ind w:left="240"/>
              <w:spacing w:after="0" w:line="115" w:lineRule="exact"/>
              <w:rPr>
                <w:sz w:val="20"/>
                <w:szCs w:val="20"/>
                <w:color w:val="auto"/>
              </w:rPr>
            </w:pPr>
            <w:r>
              <w:rPr>
                <w:rFonts w:ascii="Times New Roman" w:cs="Times New Roman" w:eastAsia="Times New Roman" w:hAnsi="Times New Roman"/>
                <w:sz w:val="12"/>
                <w:szCs w:val="12"/>
                <w:b w:val="1"/>
                <w:bCs w:val="1"/>
                <w:color w:val="auto"/>
              </w:rPr>
              <w:t>Capital</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ind w:left="160"/>
              <w:spacing w:after="0" w:line="115"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ind w:right="580"/>
              <w:spacing w:after="0" w:line="115" w:lineRule="exact"/>
              <w:rPr>
                <w:sz w:val="20"/>
                <w:szCs w:val="20"/>
                <w:color w:val="auto"/>
              </w:rPr>
            </w:pPr>
            <w:r>
              <w:rPr>
                <w:rFonts w:ascii="Times New Roman" w:cs="Times New Roman" w:eastAsia="Times New Roman" w:hAnsi="Times New Roman"/>
                <w:sz w:val="12"/>
                <w:szCs w:val="12"/>
                <w:b w:val="1"/>
                <w:bCs w:val="1"/>
                <w:color w:val="auto"/>
              </w:rPr>
              <w:t>Total</w:t>
            </w:r>
          </w:p>
        </w:tc>
      </w:tr>
      <w:tr>
        <w:trPr>
          <w:trHeight w:val="115"/>
        </w:trPr>
        <w:tc>
          <w:tcPr>
            <w:tcW w:w="342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Balance, December 31, 2022</w:t>
            </w:r>
          </w:p>
        </w:tc>
        <w:tc>
          <w:tcPr>
            <w:tcW w:w="120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9,189,795</w:t>
            </w:r>
          </w:p>
        </w:tc>
        <w:tc>
          <w:tcPr>
            <w:tcW w:w="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980" w:type="dxa"/>
            <w:vAlign w:val="bottom"/>
            <w:tcBorders>
              <w:top w:val="single" w:sz="8" w:color="auto"/>
            </w:tcBorders>
            <w:gridSpan w:val="2"/>
            <w:shd w:val="clear" w:color="auto" w:fill="CCEEFF"/>
          </w:tcPr>
          <w:p>
            <w:pPr>
              <w:jc w:val="center"/>
              <w:ind w:right="862"/>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45,949</w:t>
            </w: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12,908,840</w:t>
            </w: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gridSpan w:val="2"/>
            <w:shd w:val="clear" w:color="auto" w:fill="CCEEFF"/>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19,131,431</w:t>
            </w: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gridSpan w:val="2"/>
            <w:shd w:val="clear" w:color="auto" w:fill="CCEEFF"/>
          </w:tcPr>
          <w:p>
            <w:pPr>
              <w:jc w:val="right"/>
              <w:ind w:right="2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32,086,220</w:t>
            </w:r>
          </w:p>
        </w:tc>
      </w:tr>
      <w:tr>
        <w:trPr>
          <w:trHeight w:val="126"/>
        </w:trPr>
        <w:tc>
          <w:tcPr>
            <w:tcW w:w="342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Net (loss)</w:t>
            </w:r>
          </w:p>
        </w:tc>
        <w:tc>
          <w:tcPr>
            <w:tcW w:w="20" w:type="dxa"/>
            <w:vAlign w:val="bottom"/>
          </w:tcPr>
          <w:p>
            <w:pPr>
              <w:spacing w:after="0"/>
              <w:rPr>
                <w:sz w:val="10"/>
                <w:szCs w:val="10"/>
                <w:color w:val="auto"/>
              </w:rPr>
            </w:pPr>
          </w:p>
        </w:tc>
        <w:tc>
          <w:tcPr>
            <w:tcW w:w="1360" w:type="dxa"/>
            <w:vAlign w:val="bottom"/>
            <w:gridSpan w:val="3"/>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20" w:type="dxa"/>
            <w:vAlign w:val="bottom"/>
            <w:gridSpan w:val="3"/>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0" w:type="dxa"/>
            <w:vAlign w:val="bottom"/>
            <w:gridSpan w:val="3"/>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2"/>
                <w:szCs w:val="12"/>
                <w:color w:val="auto"/>
              </w:rPr>
              <w:t>(224,480)</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(224,480)</w:t>
            </w:r>
          </w:p>
        </w:tc>
      </w:tr>
      <w:tr>
        <w:trPr>
          <w:trHeight w:val="126"/>
        </w:trPr>
        <w:tc>
          <w:tcPr>
            <w:tcW w:w="342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Stock-based compensation expense</w:t>
            </w:r>
          </w:p>
        </w:tc>
        <w:tc>
          <w:tcPr>
            <w:tcW w:w="20" w:type="dxa"/>
            <w:vAlign w:val="bottom"/>
            <w:shd w:val="clear" w:color="auto" w:fill="CCEEFF"/>
          </w:tcPr>
          <w:p>
            <w:pPr>
              <w:spacing w:after="0"/>
              <w:rPr>
                <w:sz w:val="10"/>
                <w:szCs w:val="10"/>
                <w:color w:val="auto"/>
              </w:rPr>
            </w:pPr>
          </w:p>
        </w:tc>
        <w:tc>
          <w:tcPr>
            <w:tcW w:w="1360" w:type="dxa"/>
            <w:vAlign w:val="bottom"/>
            <w:gridSpan w:val="3"/>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620" w:type="dxa"/>
            <w:vAlign w:val="bottom"/>
            <w:gridSpan w:val="3"/>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76,980</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300" w:type="dxa"/>
            <w:vAlign w:val="bottom"/>
            <w:gridSpan w:val="3"/>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1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76,980</w:t>
            </w:r>
          </w:p>
        </w:tc>
      </w:tr>
      <w:tr>
        <w:trPr>
          <w:trHeight w:val="126"/>
        </w:trPr>
        <w:tc>
          <w:tcPr>
            <w:tcW w:w="342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Stock option exercises</w:t>
            </w:r>
          </w:p>
        </w:tc>
        <w:tc>
          <w:tcPr>
            <w:tcW w:w="1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27,000</w:t>
            </w: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135</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48,255</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00" w:type="dxa"/>
            <w:vAlign w:val="bottom"/>
            <w:gridSpan w:val="3"/>
          </w:tcPr>
          <w:p>
            <w:pPr>
              <w:jc w:val="right"/>
              <w:ind w:right="220"/>
              <w:spacing w:after="0" w:line="126"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48,390</w:t>
            </w:r>
          </w:p>
        </w:tc>
      </w:tr>
      <w:tr>
        <w:trPr>
          <w:trHeight w:val="122"/>
        </w:trPr>
        <w:tc>
          <w:tcPr>
            <w:tcW w:w="3420" w:type="dxa"/>
            <w:vAlign w:val="bottom"/>
            <w:tcBorders>
              <w:top w:val="single" w:sz="8" w:color="CCEEFF"/>
              <w:bottom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Balance, March 31, 2023</w:t>
            </w:r>
          </w:p>
        </w:tc>
        <w:tc>
          <w:tcPr>
            <w:tcW w:w="120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9,216,795</w:t>
            </w: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980" w:type="dxa"/>
            <w:vAlign w:val="bottom"/>
            <w:tcBorders>
              <w:top w:val="single" w:sz="8" w:color="auto"/>
              <w:bottom w:val="single" w:sz="8" w:color="auto"/>
            </w:tcBorders>
            <w:gridSpan w:val="2"/>
            <w:shd w:val="clear" w:color="auto" w:fill="CCEEFF"/>
          </w:tcPr>
          <w:p>
            <w:pPr>
              <w:jc w:val="center"/>
              <w:ind w:right="862"/>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4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46,084</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w:t>
            </w:r>
          </w:p>
        </w:tc>
        <w:tc>
          <w:tcPr>
            <w:tcW w:w="120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13,034,075</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gridSpan w:val="2"/>
            <w:shd w:val="clear" w:color="auto" w:fill="CCEEFF"/>
          </w:tcPr>
          <w:p>
            <w:pPr>
              <w:jc w:val="right"/>
              <w:ind w:right="20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18,906,951</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380" w:type="dxa"/>
            <w:vAlign w:val="bottom"/>
            <w:tcBorders>
              <w:top w:val="single" w:sz="8" w:color="auto"/>
              <w:bottom w:val="single" w:sz="8" w:color="auto"/>
            </w:tcBorders>
            <w:gridSpan w:val="2"/>
            <w:shd w:val="clear" w:color="auto" w:fill="CCEEFF"/>
          </w:tcPr>
          <w:p>
            <w:pPr>
              <w:jc w:val="right"/>
              <w:ind w:right="2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31,987,110</w:t>
            </w: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accompanying notes are an integral part of these condensed consolidated financial statements.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6" w:name="page7"/>
    <w:bookmarkEnd w:id="6"/>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2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KOSS CORPORATION</w:t>
      </w:r>
    </w:p>
    <w:p>
      <w:pPr>
        <w:jc w:val="center"/>
        <w:ind w:right="-7"/>
        <w:spacing w:after="0" w:line="234" w:lineRule="auto"/>
        <w:rPr>
          <w:sz w:val="20"/>
          <w:szCs w:val="20"/>
          <w:color w:val="auto"/>
        </w:rPr>
      </w:pPr>
      <w:r>
        <w:rPr>
          <w:rFonts w:ascii="Times New Roman" w:cs="Times New Roman" w:eastAsia="Times New Roman" w:hAnsi="Times New Roman"/>
          <w:sz w:val="12"/>
          <w:szCs w:val="12"/>
          <w:color w:val="auto"/>
        </w:rPr>
        <w:t>NOTES TO CONDENSED CONSOLIDATED FINANCIAL STATEMENTS</w:t>
      </w:r>
    </w:p>
    <w:p>
      <w:pPr>
        <w:jc w:val="center"/>
        <w:ind w:right="-7"/>
        <w:spacing w:after="0" w:line="219" w:lineRule="auto"/>
        <w:rPr>
          <w:sz w:val="20"/>
          <w:szCs w:val="20"/>
          <w:color w:val="auto"/>
        </w:rPr>
      </w:pPr>
      <w:r>
        <w:rPr>
          <w:rFonts w:ascii="Times New Roman" w:cs="Times New Roman" w:eastAsia="Times New Roman" w:hAnsi="Times New Roman"/>
          <w:sz w:val="12"/>
          <w:szCs w:val="12"/>
          <w:color w:val="auto"/>
        </w:rPr>
        <w:t>March 31, 2024</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(Unaudited)</w:t>
      </w:r>
    </w:p>
    <w:p>
      <w:pPr>
        <w:spacing w:after="0" w:line="111" w:lineRule="exact"/>
        <w:rPr>
          <w:sz w:val="20"/>
          <w:szCs w:val="20"/>
          <w:color w:val="auto"/>
        </w:rPr>
      </w:pPr>
    </w:p>
    <w:p>
      <w:pPr>
        <w:ind w:left="208" w:hanging="208"/>
        <w:spacing w:after="0"/>
        <w:tabs>
          <w:tab w:leader="none" w:pos="208"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SUMMARY OF SIGNIFICANT ACCOUNTING POLICIES</w:t>
      </w:r>
    </w:p>
    <w:p>
      <w:pPr>
        <w:spacing w:after="0" w:line="123" w:lineRule="exact"/>
        <w:rPr>
          <w:sz w:val="20"/>
          <w:szCs w:val="20"/>
          <w:color w:val="auto"/>
        </w:rPr>
      </w:pPr>
    </w:p>
    <w:p>
      <w:pPr>
        <w:ind w:left="248" w:hanging="248"/>
        <w:spacing w:after="0"/>
        <w:tabs>
          <w:tab w:leader="none" w:pos="24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BASIS OF PRESENTATION</w:t>
      </w:r>
    </w:p>
    <w:p>
      <w:pPr>
        <w:spacing w:after="0" w:line="114" w:lineRule="exact"/>
        <w:rPr>
          <w:sz w:val="20"/>
          <w:szCs w:val="20"/>
          <w:color w:val="auto"/>
        </w:rPr>
      </w:pPr>
    </w:p>
    <w:p>
      <w:pPr>
        <w:ind w:left="8"/>
        <w:spacing w:after="0" w:line="235" w:lineRule="auto"/>
        <w:rPr>
          <w:sz w:val="20"/>
          <w:szCs w:val="20"/>
          <w:color w:val="auto"/>
        </w:rPr>
      </w:pPr>
      <w:r>
        <w:rPr>
          <w:rFonts w:ascii="Times New Roman" w:cs="Times New Roman" w:eastAsia="Times New Roman" w:hAnsi="Times New Roman"/>
          <w:sz w:val="12"/>
          <w:szCs w:val="12"/>
          <w:color w:val="auto"/>
        </w:rPr>
        <w:t>The condensed consolidated balance sheets as of March 31, 2024 and June 30, 2023, the condensed consolidated statements of operations for the three and nine months ended March 31, 2024 and 2023, the condensed consolidated statements of cash flows for the nine months ended March 31, 2024 and 2023, and the condensed consolidated statements of stockholders' equity for the three and nine months ended March 31, 2024 and 2023, have been prepared by the Company in accordance with generally accepted accounting principles in the United States of America (“U.S. GAAP”) and have not been audited. In the opinion of management, all adjustments (consisting of normal recurring adjustments) necessary to present fairly the financial position, results of operations and cash flows for all periods presented have been made. The operating results for any interim period are not necessarily indicative of the operating results that may be experienced for the full fiscal year.</w:t>
      </w:r>
    </w:p>
    <w:p>
      <w:pPr>
        <w:spacing w:after="0" w:line="107" w:lineRule="exact"/>
        <w:rPr>
          <w:sz w:val="20"/>
          <w:szCs w:val="20"/>
          <w:color w:val="auto"/>
        </w:rPr>
      </w:pPr>
    </w:p>
    <w:p>
      <w:pPr>
        <w:ind w:left="8" w:right="100"/>
        <w:spacing w:after="0" w:line="248" w:lineRule="auto"/>
        <w:rPr>
          <w:sz w:val="20"/>
          <w:szCs w:val="20"/>
          <w:color w:val="auto"/>
        </w:rPr>
      </w:pPr>
      <w:r>
        <w:rPr>
          <w:rFonts w:ascii="Times New Roman" w:cs="Times New Roman" w:eastAsia="Times New Roman" w:hAnsi="Times New Roman"/>
          <w:sz w:val="12"/>
          <w:szCs w:val="12"/>
          <w:color w:val="auto"/>
        </w:rPr>
        <w:t>Certain information and footnote disclosures normally included in consolidated financial statements prepared in accordance with U.S. GAAP have been condensed or omitted. These condensed consolidated financial statements should be read in conjunction with the consolidated financial statements and notes thereto included in the Company’s Annual Report on Form 10-K for the fiscal year ended June 30, 2023.</w:t>
      </w:r>
    </w:p>
    <w:p>
      <w:pPr>
        <w:spacing w:after="0" w:line="102" w:lineRule="exact"/>
        <w:rPr>
          <w:sz w:val="20"/>
          <w:szCs w:val="20"/>
          <w:color w:val="auto"/>
        </w:rPr>
      </w:pPr>
    </w:p>
    <w:p>
      <w:pPr>
        <w:ind w:left="8" w:right="40"/>
        <w:spacing w:after="0" w:line="241" w:lineRule="auto"/>
        <w:rPr>
          <w:sz w:val="20"/>
          <w:szCs w:val="20"/>
          <w:color w:val="auto"/>
        </w:rPr>
      </w:pPr>
      <w:r>
        <w:rPr>
          <w:rFonts w:ascii="Times New Roman" w:cs="Times New Roman" w:eastAsia="Times New Roman" w:hAnsi="Times New Roman"/>
          <w:sz w:val="12"/>
          <w:szCs w:val="12"/>
          <w:color w:val="auto"/>
        </w:rPr>
        <w:t>The preparation of financial statements in conformity with U.S. GAAP requires the Company to make estimates and assumptions that affect the reported amounts of assets and liabilities and disclosure of contingent liabilities at the date of the condensed consolidated financial statements and the reported amounts of revenues and expenses. Significant estimates and assumptions are used for, but are not limited to, allowances for credit losses, reserves for excess and obsolete inventories, long-lived and intangible assets, income tax valuation allowance</w:t>
      </w:r>
      <w:r>
        <w:rPr>
          <w:rFonts w:ascii="Times New Roman" w:cs="Times New Roman" w:eastAsia="Times New Roman" w:hAnsi="Times New Roman"/>
          <w:sz w:val="12"/>
          <w:szCs w:val="12"/>
          <w:color w:val="0782C1"/>
        </w:rPr>
        <w:t>,</w:t>
      </w:r>
      <w:r>
        <w:rPr>
          <w:rFonts w:ascii="Times New Roman" w:cs="Times New Roman" w:eastAsia="Times New Roman" w:hAnsi="Times New Roman"/>
          <w:sz w:val="12"/>
          <w:szCs w:val="12"/>
          <w:color w:val="auto"/>
        </w:rPr>
        <w:t xml:space="preserve"> stock-based compensation and deferred compensation. Actual results could differ from the Company's estimates.</w:t>
      </w:r>
    </w:p>
    <w:p>
      <w:pPr>
        <w:spacing w:after="0" w:line="97" w:lineRule="exact"/>
        <w:rPr>
          <w:sz w:val="20"/>
          <w:szCs w:val="20"/>
          <w:color w:val="auto"/>
        </w:rPr>
      </w:pPr>
    </w:p>
    <w:p>
      <w:pPr>
        <w:ind w:left="248" w:hanging="248"/>
        <w:spacing w:after="0"/>
        <w:tabs>
          <w:tab w:leader="none" w:pos="24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REVISION OF PREVIOUSLY ISSUED FINANCIAL STATEMENTS</w:t>
      </w:r>
    </w:p>
    <w:p>
      <w:pPr>
        <w:spacing w:after="0" w:line="123" w:lineRule="exact"/>
        <w:rPr>
          <w:sz w:val="20"/>
          <w:szCs w:val="20"/>
          <w:color w:val="auto"/>
        </w:rPr>
      </w:pPr>
    </w:p>
    <w:p>
      <w:pPr>
        <w:ind w:left="8" w:right="140"/>
        <w:spacing w:after="0" w:line="232" w:lineRule="auto"/>
        <w:rPr>
          <w:sz w:val="20"/>
          <w:szCs w:val="20"/>
          <w:color w:val="auto"/>
        </w:rPr>
      </w:pPr>
      <w:r>
        <w:rPr>
          <w:rFonts w:ascii="Times New Roman" w:cs="Times New Roman" w:eastAsia="Times New Roman" w:hAnsi="Times New Roman"/>
          <w:sz w:val="12"/>
          <w:szCs w:val="12"/>
          <w:color w:val="auto"/>
        </w:rPr>
        <w:t>During the second quarter of fiscal year 2024, the Company learned that due to misinterpretation of the required tax treatment for certain disqualifying dispositions of Incentive Stock Options (ISO), the Company improperly withheld amounts for Social Security and Medicare (“FICA”) taxes on the taxable gains resulting from those dispositions and remitted such amounts to the Internal Revenue Service (“IRS”). Thus, for such disqualifying dispositions of ISOs beginning in fiscal year 2021, certain employees are owed a refund from the Company for the overpayment of the FICA taxes, with a similar refund due to the Company from the IRS for the employer portion of the taxes which were also remitted to the IRS and expensed by the Company. The Company intends to reimburse the over withheld taxes to the impacted employees and to file amended 941-X forms with the IRS to claim a refund for both the Company overpayment of FICA taxes as well as the amounts refunded to employees. As of March 31, 2024 the over withheld taxes due to the impacted employees was $354,971 and is recorded in accrued liabilities on the condensed consolidated balance sheet as of that date. The refund expected from the IRS is $722,498 and is included in prepaid expenses and other current assets on the condensed consolidated balance sheet at March 31, 2024.</w:t>
      </w:r>
    </w:p>
    <w:p>
      <w:pPr>
        <w:spacing w:after="0" w:line="109" w:lineRule="exact"/>
        <w:rPr>
          <w:sz w:val="20"/>
          <w:szCs w:val="20"/>
          <w:color w:val="auto"/>
        </w:rPr>
      </w:pPr>
    </w:p>
    <w:p>
      <w:pPr>
        <w:ind w:left="8" w:right="200"/>
        <w:spacing w:after="0" w:line="241" w:lineRule="auto"/>
        <w:rPr>
          <w:sz w:val="20"/>
          <w:szCs w:val="20"/>
          <w:color w:val="auto"/>
        </w:rPr>
      </w:pPr>
      <w:r>
        <w:rPr>
          <w:rFonts w:ascii="Times New Roman" w:cs="Times New Roman" w:eastAsia="Times New Roman" w:hAnsi="Times New Roman"/>
          <w:sz w:val="12"/>
          <w:szCs w:val="12"/>
          <w:color w:val="auto"/>
        </w:rPr>
        <w:t>Based on an analysis of Accounting Standards Codification ASC 250 – “Accounting Changes and Error Corrections” (“ASC 250”), Staff Accounting Bulletin 99 – “Materiality” and Staff Accounting Bulletin 108 – “Considering the Effects of Prior Year Misstatements when Quantifying Misstatements in Current Year Financial Statements”, the Company determined that these errors did not result in the previously issued consolidated financial statements being materially misstated, and as such no restatement was necessary.</w:t>
      </w:r>
    </w:p>
    <w:p>
      <w:pPr>
        <w:spacing w:after="0" w:line="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215265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67"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2"/>
          <w:szCs w:val="12"/>
          <w:color w:val="auto"/>
        </w:rPr>
        <w:t>The following tables present the effect of the revision on the condensed consolidated balance sheet as of June 30, 2023, the condensed consolidated statements of operations for the three and nine months ended March 31, 2023, and the condensed consolidated statement of cash flows for the nine months ended March 31, 2023.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880" w:type="dxa"/>
            <w:vAlign w:val="bottom"/>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8"/>
              </w:rPr>
              <w:t>As of June 30, 2023</w:t>
            </w:r>
          </w:p>
        </w:tc>
        <w:tc>
          <w:tcPr>
            <w:tcW w:w="1680" w:type="dxa"/>
            <w:vAlign w:val="bottom"/>
            <w:tcBorders>
              <w:bottom w:val="single" w:sz="8" w:color="auto"/>
            </w:tcBorders>
          </w:tcPr>
          <w:p>
            <w:pPr>
              <w:spacing w:after="0"/>
              <w:rPr>
                <w:sz w:val="13"/>
                <w:szCs w:val="13"/>
                <w:color w:val="auto"/>
              </w:rPr>
            </w:pPr>
          </w:p>
        </w:tc>
      </w:tr>
      <w:tr>
        <w:trPr>
          <w:trHeight w:val="124"/>
        </w:trPr>
        <w:tc>
          <w:tcPr>
            <w:tcW w:w="5880" w:type="dxa"/>
            <w:vAlign w:val="bottom"/>
          </w:tcPr>
          <w:p>
            <w:pPr>
              <w:spacing w:after="0"/>
              <w:rPr>
                <w:sz w:val="10"/>
                <w:szCs w:val="10"/>
                <w:color w:val="auto"/>
              </w:rPr>
            </w:pPr>
          </w:p>
        </w:tc>
        <w:tc>
          <w:tcPr>
            <w:tcW w:w="1860" w:type="dxa"/>
            <w:vAlign w:val="bottom"/>
            <w:gridSpan w:val="2"/>
          </w:tcPr>
          <w:p>
            <w:pPr>
              <w:ind w:left="240"/>
              <w:spacing w:after="0" w:line="124" w:lineRule="exact"/>
              <w:rPr>
                <w:sz w:val="20"/>
                <w:szCs w:val="20"/>
                <w:color w:val="auto"/>
              </w:rPr>
            </w:pPr>
            <w:r>
              <w:rPr>
                <w:rFonts w:ascii="Times New Roman" w:cs="Times New Roman" w:eastAsia="Times New Roman" w:hAnsi="Times New Roman"/>
                <w:sz w:val="12"/>
                <w:szCs w:val="12"/>
                <w:b w:val="1"/>
                <w:bCs w:val="1"/>
                <w:color w:val="auto"/>
              </w:rPr>
              <w:t>As Previously Reported</w:t>
            </w:r>
          </w:p>
        </w:tc>
        <w:tc>
          <w:tcPr>
            <w:tcW w:w="1880" w:type="dxa"/>
            <w:vAlign w:val="bottom"/>
            <w:gridSpan w:val="2"/>
          </w:tcPr>
          <w:p>
            <w:pPr>
              <w:jc w:val="center"/>
              <w:ind w:right="160"/>
              <w:spacing w:after="0" w:line="124" w:lineRule="exact"/>
              <w:rPr>
                <w:sz w:val="20"/>
                <w:szCs w:val="20"/>
                <w:color w:val="auto"/>
              </w:rPr>
            </w:pPr>
            <w:r>
              <w:rPr>
                <w:rFonts w:ascii="Times New Roman" w:cs="Times New Roman" w:eastAsia="Times New Roman" w:hAnsi="Times New Roman"/>
                <w:sz w:val="12"/>
                <w:szCs w:val="12"/>
                <w:b w:val="1"/>
                <w:bCs w:val="1"/>
                <w:color w:val="auto"/>
                <w:w w:val="99"/>
              </w:rPr>
              <w:t>Revision</w:t>
            </w:r>
          </w:p>
        </w:tc>
        <w:tc>
          <w:tcPr>
            <w:tcW w:w="1680" w:type="dxa"/>
            <w:vAlign w:val="bottom"/>
          </w:tcPr>
          <w:p>
            <w:pPr>
              <w:jc w:val="right"/>
              <w:ind w:right="500"/>
              <w:spacing w:after="0" w:line="124" w:lineRule="exact"/>
              <w:rPr>
                <w:sz w:val="20"/>
                <w:szCs w:val="20"/>
                <w:color w:val="auto"/>
              </w:rPr>
            </w:pPr>
            <w:r>
              <w:rPr>
                <w:rFonts w:ascii="Times New Roman" w:cs="Times New Roman" w:eastAsia="Times New Roman" w:hAnsi="Times New Roman"/>
                <w:sz w:val="12"/>
                <w:szCs w:val="12"/>
                <w:b w:val="1"/>
                <w:bCs w:val="1"/>
                <w:color w:val="auto"/>
              </w:rPr>
              <w:t>As Revised</w:t>
            </w:r>
          </w:p>
        </w:tc>
      </w:tr>
      <w:tr>
        <w:trPr>
          <w:trHeight w:val="124"/>
        </w:trPr>
        <w:tc>
          <w:tcPr>
            <w:tcW w:w="588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Condensed consolidated balance sheet:</w:t>
            </w:r>
          </w:p>
        </w:tc>
        <w:tc>
          <w:tcPr>
            <w:tcW w:w="1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7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680" w:type="dxa"/>
            <w:vAlign w:val="bottom"/>
            <w:tcBorders>
              <w:top w:val="single" w:sz="8" w:color="auto"/>
            </w:tcBorders>
            <w:shd w:val="clear" w:color="auto" w:fill="CCEEFF"/>
          </w:tcPr>
          <w:p>
            <w:pPr>
              <w:spacing w:after="0"/>
              <w:rPr>
                <w:sz w:val="10"/>
                <w:szCs w:val="10"/>
                <w:color w:val="auto"/>
              </w:rPr>
            </w:pPr>
          </w:p>
        </w:tc>
      </w:tr>
      <w:tr>
        <w:trPr>
          <w:trHeight w:val="126"/>
        </w:trPr>
        <w:tc>
          <w:tcPr>
            <w:tcW w:w="58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1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284,622</w:t>
            </w:r>
          </w:p>
        </w:tc>
        <w:tc>
          <w:tcPr>
            <w:tcW w:w="180" w:type="dxa"/>
            <w:vAlign w:val="bottom"/>
          </w:tcPr>
          <w:p>
            <w:pPr>
              <w:spacing w:after="0"/>
              <w:rPr>
                <w:sz w:val="10"/>
                <w:szCs w:val="10"/>
                <w:color w:val="auto"/>
              </w:rPr>
            </w:pPr>
          </w:p>
        </w:tc>
        <w:tc>
          <w:tcPr>
            <w:tcW w:w="1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717,892</w:t>
            </w:r>
          </w:p>
        </w:tc>
        <w:tc>
          <w:tcPr>
            <w:tcW w:w="180" w:type="dxa"/>
            <w:vAlign w:val="bottom"/>
          </w:tcPr>
          <w:p>
            <w:pPr>
              <w:spacing w:after="0"/>
              <w:rPr>
                <w:sz w:val="10"/>
                <w:szCs w:val="10"/>
                <w:color w:val="auto"/>
              </w:rPr>
            </w:pPr>
          </w:p>
        </w:tc>
        <w:tc>
          <w:tcPr>
            <w:tcW w:w="1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1,002,514</w:t>
            </w:r>
          </w:p>
        </w:tc>
      </w:tr>
      <w:tr>
        <w:trPr>
          <w:trHeight w:val="126"/>
        </w:trPr>
        <w:tc>
          <w:tcPr>
            <w:tcW w:w="5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Total current assets</w:t>
            </w:r>
          </w:p>
        </w:tc>
        <w:tc>
          <w:tcPr>
            <w:tcW w:w="1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28,380,967</w:t>
            </w:r>
          </w:p>
        </w:tc>
        <w:tc>
          <w:tcPr>
            <w:tcW w:w="180" w:type="dxa"/>
            <w:vAlign w:val="bottom"/>
            <w:shd w:val="clear" w:color="auto" w:fill="CCEEFF"/>
          </w:tcPr>
          <w:p>
            <w:pPr>
              <w:spacing w:after="0"/>
              <w:rPr>
                <w:sz w:val="10"/>
                <w:szCs w:val="10"/>
                <w:color w:val="auto"/>
              </w:rPr>
            </w:pPr>
          </w:p>
        </w:tc>
        <w:tc>
          <w:tcPr>
            <w:tcW w:w="1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717,892</w:t>
            </w: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29,098,859</w:t>
            </w:r>
          </w:p>
        </w:tc>
      </w:tr>
      <w:tr>
        <w:trPr>
          <w:trHeight w:val="126"/>
        </w:trPr>
        <w:tc>
          <w:tcPr>
            <w:tcW w:w="58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Total assets</w:t>
            </w:r>
          </w:p>
        </w:tc>
        <w:tc>
          <w:tcPr>
            <w:tcW w:w="1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38,370,805</w:t>
            </w:r>
          </w:p>
        </w:tc>
        <w:tc>
          <w:tcPr>
            <w:tcW w:w="180" w:type="dxa"/>
            <w:vAlign w:val="bottom"/>
          </w:tcPr>
          <w:p>
            <w:pPr>
              <w:spacing w:after="0"/>
              <w:rPr>
                <w:sz w:val="10"/>
                <w:szCs w:val="10"/>
                <w:color w:val="auto"/>
              </w:rPr>
            </w:pPr>
          </w:p>
        </w:tc>
        <w:tc>
          <w:tcPr>
            <w:tcW w:w="1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717,892</w:t>
            </w:r>
          </w:p>
        </w:tc>
        <w:tc>
          <w:tcPr>
            <w:tcW w:w="180" w:type="dxa"/>
            <w:vAlign w:val="bottom"/>
          </w:tcPr>
          <w:p>
            <w:pPr>
              <w:spacing w:after="0"/>
              <w:rPr>
                <w:sz w:val="10"/>
                <w:szCs w:val="10"/>
                <w:color w:val="auto"/>
              </w:rPr>
            </w:pPr>
          </w:p>
        </w:tc>
        <w:tc>
          <w:tcPr>
            <w:tcW w:w="1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39,088,697</w:t>
            </w:r>
          </w:p>
        </w:tc>
      </w:tr>
      <w:tr>
        <w:trPr>
          <w:trHeight w:val="126"/>
        </w:trPr>
        <w:tc>
          <w:tcPr>
            <w:tcW w:w="5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Accrued liabilities</w:t>
            </w:r>
          </w:p>
        </w:tc>
        <w:tc>
          <w:tcPr>
            <w:tcW w:w="1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970,530</w:t>
            </w:r>
          </w:p>
        </w:tc>
        <w:tc>
          <w:tcPr>
            <w:tcW w:w="180" w:type="dxa"/>
            <w:vAlign w:val="bottom"/>
            <w:shd w:val="clear" w:color="auto" w:fill="CCEEFF"/>
          </w:tcPr>
          <w:p>
            <w:pPr>
              <w:spacing w:after="0"/>
              <w:rPr>
                <w:sz w:val="10"/>
                <w:szCs w:val="10"/>
                <w:color w:val="auto"/>
              </w:rPr>
            </w:pPr>
          </w:p>
        </w:tc>
        <w:tc>
          <w:tcPr>
            <w:tcW w:w="1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371,509</w:t>
            </w: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1,342,039</w:t>
            </w:r>
          </w:p>
        </w:tc>
      </w:tr>
      <w:tr>
        <w:trPr>
          <w:trHeight w:val="126"/>
        </w:trPr>
        <w:tc>
          <w:tcPr>
            <w:tcW w:w="58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Total current liabilities</w:t>
            </w:r>
          </w:p>
        </w:tc>
        <w:tc>
          <w:tcPr>
            <w:tcW w:w="1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2,011,817</w:t>
            </w:r>
          </w:p>
        </w:tc>
        <w:tc>
          <w:tcPr>
            <w:tcW w:w="180" w:type="dxa"/>
            <w:vAlign w:val="bottom"/>
          </w:tcPr>
          <w:p>
            <w:pPr>
              <w:spacing w:after="0"/>
              <w:rPr>
                <w:sz w:val="10"/>
                <w:szCs w:val="10"/>
                <w:color w:val="auto"/>
              </w:rPr>
            </w:pPr>
          </w:p>
        </w:tc>
        <w:tc>
          <w:tcPr>
            <w:tcW w:w="1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371,509</w:t>
            </w:r>
          </w:p>
        </w:tc>
        <w:tc>
          <w:tcPr>
            <w:tcW w:w="180" w:type="dxa"/>
            <w:vAlign w:val="bottom"/>
          </w:tcPr>
          <w:p>
            <w:pPr>
              <w:spacing w:after="0"/>
              <w:rPr>
                <w:sz w:val="10"/>
                <w:szCs w:val="10"/>
                <w:color w:val="auto"/>
              </w:rPr>
            </w:pPr>
          </w:p>
        </w:tc>
        <w:tc>
          <w:tcPr>
            <w:tcW w:w="1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2,383,326</w:t>
            </w:r>
          </w:p>
        </w:tc>
      </w:tr>
      <w:tr>
        <w:trPr>
          <w:trHeight w:val="126"/>
        </w:trPr>
        <w:tc>
          <w:tcPr>
            <w:tcW w:w="5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Total liabilities</w:t>
            </w:r>
          </w:p>
        </w:tc>
        <w:tc>
          <w:tcPr>
            <w:tcW w:w="1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6,909,910</w:t>
            </w:r>
          </w:p>
        </w:tc>
        <w:tc>
          <w:tcPr>
            <w:tcW w:w="180" w:type="dxa"/>
            <w:vAlign w:val="bottom"/>
            <w:shd w:val="clear" w:color="auto" w:fill="CCEEFF"/>
          </w:tcPr>
          <w:p>
            <w:pPr>
              <w:spacing w:after="0"/>
              <w:rPr>
                <w:sz w:val="10"/>
                <w:szCs w:val="10"/>
                <w:color w:val="auto"/>
              </w:rPr>
            </w:pPr>
          </w:p>
        </w:tc>
        <w:tc>
          <w:tcPr>
            <w:tcW w:w="1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371,509</w:t>
            </w: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7,281,419</w:t>
            </w:r>
          </w:p>
        </w:tc>
      </w:tr>
      <w:tr>
        <w:trPr>
          <w:trHeight w:val="126"/>
        </w:trPr>
        <w:tc>
          <w:tcPr>
            <w:tcW w:w="58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Retained earnings</w:t>
            </w:r>
          </w:p>
        </w:tc>
        <w:tc>
          <w:tcPr>
            <w:tcW w:w="1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18,300,728</w:t>
            </w:r>
          </w:p>
        </w:tc>
        <w:tc>
          <w:tcPr>
            <w:tcW w:w="180" w:type="dxa"/>
            <w:vAlign w:val="bottom"/>
          </w:tcPr>
          <w:p>
            <w:pPr>
              <w:spacing w:after="0"/>
              <w:rPr>
                <w:sz w:val="10"/>
                <w:szCs w:val="10"/>
                <w:color w:val="auto"/>
              </w:rPr>
            </w:pPr>
          </w:p>
        </w:tc>
        <w:tc>
          <w:tcPr>
            <w:tcW w:w="1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346,383</w:t>
            </w:r>
          </w:p>
        </w:tc>
        <w:tc>
          <w:tcPr>
            <w:tcW w:w="180" w:type="dxa"/>
            <w:vAlign w:val="bottom"/>
          </w:tcPr>
          <w:p>
            <w:pPr>
              <w:spacing w:after="0"/>
              <w:rPr>
                <w:sz w:val="10"/>
                <w:szCs w:val="10"/>
                <w:color w:val="auto"/>
              </w:rPr>
            </w:pPr>
          </w:p>
        </w:tc>
        <w:tc>
          <w:tcPr>
            <w:tcW w:w="1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18,647,111</w:t>
            </w:r>
          </w:p>
        </w:tc>
      </w:tr>
      <w:tr>
        <w:trPr>
          <w:trHeight w:val="126"/>
        </w:trPr>
        <w:tc>
          <w:tcPr>
            <w:tcW w:w="5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Total stockholders' equity</w:t>
            </w:r>
          </w:p>
        </w:tc>
        <w:tc>
          <w:tcPr>
            <w:tcW w:w="1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31,460,895</w:t>
            </w:r>
          </w:p>
        </w:tc>
        <w:tc>
          <w:tcPr>
            <w:tcW w:w="180" w:type="dxa"/>
            <w:vAlign w:val="bottom"/>
            <w:shd w:val="clear" w:color="auto" w:fill="CCEEFF"/>
          </w:tcPr>
          <w:p>
            <w:pPr>
              <w:spacing w:after="0"/>
              <w:rPr>
                <w:sz w:val="10"/>
                <w:szCs w:val="10"/>
                <w:color w:val="auto"/>
              </w:rPr>
            </w:pPr>
          </w:p>
        </w:tc>
        <w:tc>
          <w:tcPr>
            <w:tcW w:w="1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346,383</w:t>
            </w:r>
          </w:p>
        </w:tc>
        <w:tc>
          <w:tcPr>
            <w:tcW w:w="18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31,807,278</w:t>
            </w:r>
          </w:p>
        </w:tc>
      </w:tr>
    </w:tbl>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3360" w:type="dxa"/>
            <w:vAlign w:val="bottom"/>
          </w:tcPr>
          <w:p>
            <w:pPr>
              <w:spacing w:after="0"/>
              <w:rPr>
                <w:sz w:val="13"/>
                <w:szCs w:val="13"/>
                <w:color w:val="auto"/>
              </w:rPr>
            </w:pPr>
          </w:p>
        </w:tc>
        <w:tc>
          <w:tcPr>
            <w:tcW w:w="2960" w:type="dxa"/>
            <w:vAlign w:val="bottom"/>
            <w:tcBorders>
              <w:bottom w:val="single" w:sz="8" w:color="auto"/>
            </w:tcBorders>
            <w:gridSpan w:val="5"/>
          </w:tcPr>
          <w:p>
            <w:pPr>
              <w:jc w:val="center"/>
              <w:ind w:left="860"/>
              <w:spacing w:after="0"/>
              <w:rPr>
                <w:sz w:val="20"/>
                <w:szCs w:val="20"/>
                <w:color w:val="auto"/>
              </w:rPr>
            </w:pPr>
            <w:r>
              <w:rPr>
                <w:rFonts w:ascii="Times New Roman" w:cs="Times New Roman" w:eastAsia="Times New Roman" w:hAnsi="Times New Roman"/>
                <w:sz w:val="12"/>
                <w:szCs w:val="12"/>
                <w:b w:val="1"/>
                <w:bCs w:val="1"/>
                <w:color w:val="auto"/>
                <w:w w:val="99"/>
              </w:rPr>
              <w:t>Three Months Ended March 31, 2023</w:t>
            </w:r>
          </w:p>
        </w:tc>
        <w:tc>
          <w:tcPr>
            <w:tcW w:w="9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960" w:type="dxa"/>
            <w:vAlign w:val="bottom"/>
            <w:tcBorders>
              <w:bottom w:val="single" w:sz="8" w:color="auto"/>
            </w:tcBorders>
            <w:gridSpan w:val="5"/>
          </w:tcPr>
          <w:p>
            <w:pPr>
              <w:jc w:val="center"/>
              <w:ind w:left="900"/>
              <w:spacing w:after="0"/>
              <w:rPr>
                <w:sz w:val="20"/>
                <w:szCs w:val="20"/>
                <w:color w:val="auto"/>
              </w:rPr>
            </w:pPr>
            <w:r>
              <w:rPr>
                <w:rFonts w:ascii="Times New Roman" w:cs="Times New Roman" w:eastAsia="Times New Roman" w:hAnsi="Times New Roman"/>
                <w:sz w:val="12"/>
                <w:szCs w:val="12"/>
                <w:b w:val="1"/>
                <w:bCs w:val="1"/>
                <w:color w:val="auto"/>
                <w:w w:val="99"/>
              </w:rPr>
              <w:t>Nine Months Ended March 31, 2023</w:t>
            </w:r>
          </w:p>
        </w:tc>
        <w:tc>
          <w:tcPr>
            <w:tcW w:w="960" w:type="dxa"/>
            <w:vAlign w:val="bottom"/>
            <w:tcBorders>
              <w:bottom w:val="single" w:sz="8" w:color="auto"/>
            </w:tcBorders>
          </w:tcPr>
          <w:p>
            <w:pPr>
              <w:spacing w:after="0"/>
              <w:rPr>
                <w:sz w:val="13"/>
                <w:szCs w:val="13"/>
                <w:color w:val="auto"/>
              </w:rPr>
            </w:pPr>
          </w:p>
        </w:tc>
      </w:tr>
      <w:tr>
        <w:trPr>
          <w:trHeight w:val="109"/>
        </w:trPr>
        <w:tc>
          <w:tcPr>
            <w:tcW w:w="3360" w:type="dxa"/>
            <w:vAlign w:val="bottom"/>
          </w:tcPr>
          <w:p>
            <w:pPr>
              <w:spacing w:after="0"/>
              <w:rPr>
                <w:sz w:val="9"/>
                <w:szCs w:val="9"/>
                <w:color w:val="auto"/>
              </w:rPr>
            </w:pPr>
          </w:p>
        </w:tc>
        <w:tc>
          <w:tcPr>
            <w:tcW w:w="1340" w:type="dxa"/>
            <w:vAlign w:val="bottom"/>
            <w:gridSpan w:val="2"/>
          </w:tcPr>
          <w:p>
            <w:pPr>
              <w:jc w:val="right"/>
              <w:ind w:right="400"/>
              <w:spacing w:after="0" w:line="109"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tcPr>
          <w:p>
            <w:pPr>
              <w:jc w:val="right"/>
              <w:ind w:right="400"/>
              <w:spacing w:after="0" w:line="109" w:lineRule="exact"/>
              <w:rPr>
                <w:sz w:val="20"/>
                <w:szCs w:val="20"/>
                <w:color w:val="auto"/>
              </w:rPr>
            </w:pPr>
            <w:r>
              <w:rPr>
                <w:rFonts w:ascii="Times New Roman" w:cs="Times New Roman" w:eastAsia="Times New Roman" w:hAnsi="Times New Roman"/>
                <w:sz w:val="12"/>
                <w:szCs w:val="12"/>
                <w:b w:val="1"/>
                <w:bCs w:val="1"/>
                <w:color w:val="auto"/>
              </w:rPr>
              <w:t>As Previously</w:t>
            </w:r>
          </w:p>
        </w:tc>
        <w:tc>
          <w:tcPr>
            <w:tcW w:w="1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150"/>
        </w:trPr>
        <w:tc>
          <w:tcPr>
            <w:tcW w:w="3360" w:type="dxa"/>
            <w:vAlign w:val="bottom"/>
          </w:tcPr>
          <w:p>
            <w:pPr>
              <w:spacing w:after="0"/>
              <w:rPr>
                <w:sz w:val="13"/>
                <w:szCs w:val="13"/>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62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Revision</w:t>
            </w:r>
          </w:p>
        </w:tc>
        <w:tc>
          <w:tcPr>
            <w:tcW w:w="1060" w:type="dxa"/>
            <w:vAlign w:val="bottom"/>
            <w:gridSpan w:val="2"/>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As Revised</w:t>
            </w: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Reported</w:t>
            </w:r>
          </w:p>
        </w:tc>
        <w:tc>
          <w:tcPr>
            <w:tcW w:w="1620" w:type="dxa"/>
            <w:vAlign w:val="bottom"/>
            <w:gridSpan w:val="3"/>
          </w:tcPr>
          <w:p>
            <w:pPr>
              <w:jc w:val="center"/>
              <w:ind w:right="420"/>
              <w:spacing w:after="0"/>
              <w:rPr>
                <w:sz w:val="20"/>
                <w:szCs w:val="20"/>
                <w:color w:val="auto"/>
              </w:rPr>
            </w:pPr>
            <w:r>
              <w:rPr>
                <w:rFonts w:ascii="Times New Roman" w:cs="Times New Roman" w:eastAsia="Times New Roman" w:hAnsi="Times New Roman"/>
                <w:sz w:val="12"/>
                <w:szCs w:val="12"/>
                <w:b w:val="1"/>
                <w:bCs w:val="1"/>
                <w:color w:val="auto"/>
                <w:w w:val="99"/>
              </w:rPr>
              <w:t>Revision</w:t>
            </w:r>
          </w:p>
        </w:tc>
        <w:tc>
          <w:tcPr>
            <w:tcW w:w="960" w:type="dxa"/>
            <w:vAlign w:val="bottom"/>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As Revised</w:t>
            </w:r>
          </w:p>
        </w:tc>
      </w:tr>
      <w:tr>
        <w:trPr>
          <w:trHeight w:val="124"/>
        </w:trPr>
        <w:tc>
          <w:tcPr>
            <w:tcW w:w="336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Condensed consolidated statements of operations:</w:t>
            </w:r>
          </w:p>
        </w:tc>
        <w:tc>
          <w:tcPr>
            <w:tcW w:w="12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2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r>
      <w:tr>
        <w:trPr>
          <w:trHeight w:val="126"/>
        </w:trPr>
        <w:tc>
          <w:tcPr>
            <w:tcW w:w="33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1,757,714</w:t>
            </w:r>
          </w:p>
        </w:tc>
        <w:tc>
          <w:tcPr>
            <w:tcW w:w="140" w:type="dxa"/>
            <w:vAlign w:val="bottom"/>
          </w:tcPr>
          <w:p>
            <w:pPr>
              <w:spacing w:after="0"/>
              <w:rPr>
                <w:sz w:val="10"/>
                <w:szCs w:val="10"/>
                <w:color w:val="auto"/>
              </w:rPr>
            </w:pPr>
          </w:p>
        </w:tc>
        <w:tc>
          <w:tcPr>
            <w:tcW w:w="13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(8,373)</w:t>
            </w:r>
          </w:p>
        </w:tc>
        <w:tc>
          <w:tcPr>
            <w:tcW w:w="280" w:type="dxa"/>
            <w:vAlign w:val="bottom"/>
          </w:tcPr>
          <w:p>
            <w:pPr>
              <w:spacing w:after="0"/>
              <w:rPr>
                <w:sz w:val="10"/>
                <w:szCs w:val="10"/>
                <w:color w:val="auto"/>
              </w:rPr>
            </w:pPr>
          </w:p>
        </w:tc>
        <w:tc>
          <w:tcPr>
            <w:tcW w:w="9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1,749,341</w:t>
            </w:r>
          </w:p>
        </w:tc>
        <w:tc>
          <w:tcPr>
            <w:tcW w:w="140" w:type="dxa"/>
            <w:vAlign w:val="bottom"/>
          </w:tcPr>
          <w:p>
            <w:pPr>
              <w:spacing w:after="0"/>
              <w:rPr>
                <w:sz w:val="10"/>
                <w:szCs w:val="10"/>
                <w:color w:val="auto"/>
              </w:rPr>
            </w:pP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27,921,287</w:t>
            </w:r>
          </w:p>
        </w:tc>
        <w:tc>
          <w:tcPr>
            <w:tcW w:w="140" w:type="dxa"/>
            <w:vAlign w:val="bottom"/>
          </w:tcPr>
          <w:p>
            <w:pPr>
              <w:spacing w:after="0"/>
              <w:rPr>
                <w:sz w:val="10"/>
                <w:szCs w:val="10"/>
                <w:color w:val="auto"/>
              </w:rPr>
            </w:pPr>
          </w:p>
        </w:tc>
        <w:tc>
          <w:tcPr>
            <w:tcW w:w="13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(14,041)</w:t>
            </w:r>
          </w:p>
        </w:tc>
        <w:tc>
          <w:tcPr>
            <w:tcW w:w="260" w:type="dxa"/>
            <w:vAlign w:val="bottom"/>
          </w:tcPr>
          <w:p>
            <w:pPr>
              <w:spacing w:after="0"/>
              <w:rPr>
                <w:sz w:val="10"/>
                <w:szCs w:val="10"/>
                <w:color w:val="auto"/>
              </w:rPr>
            </w:pP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27,907,246</w:t>
            </w:r>
          </w:p>
        </w:tc>
      </w:tr>
      <w:tr>
        <w:trPr>
          <w:trHeight w:val="126"/>
        </w:trPr>
        <w:tc>
          <w:tcPr>
            <w:tcW w:w="3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(Loss) from operations</w:t>
            </w:r>
          </w:p>
        </w:tc>
        <w:tc>
          <w:tcPr>
            <w:tcW w:w="13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(453,356)</w:t>
            </w:r>
          </w:p>
        </w:tc>
        <w:tc>
          <w:tcPr>
            <w:tcW w:w="12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8,373</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(444,983)</w:t>
            </w:r>
          </w:p>
        </w:tc>
        <w:tc>
          <w:tcPr>
            <w:tcW w:w="13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(24,285,543)</w:t>
            </w:r>
          </w:p>
        </w:tc>
        <w:tc>
          <w:tcPr>
            <w:tcW w:w="12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14,041</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(24,271,502)</w:t>
            </w:r>
          </w:p>
        </w:tc>
      </w:tr>
      <w:tr>
        <w:trPr>
          <w:trHeight w:val="126"/>
        </w:trPr>
        <w:tc>
          <w:tcPr>
            <w:tcW w:w="33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(Loss) income before income tax provision</w:t>
            </w:r>
          </w:p>
        </w:tc>
        <w:tc>
          <w:tcPr>
            <w:tcW w:w="13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(263,763)</w:t>
            </w: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8,373</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(255,390)</w:t>
            </w:r>
          </w:p>
        </w:tc>
        <w:tc>
          <w:tcPr>
            <w:tcW w:w="12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9,028,939</w:t>
            </w:r>
          </w:p>
        </w:tc>
        <w:tc>
          <w:tcPr>
            <w:tcW w:w="14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14,041</w:t>
            </w: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9,042,980</w:t>
            </w:r>
          </w:p>
        </w:tc>
      </w:tr>
      <w:tr>
        <w:trPr>
          <w:trHeight w:val="126"/>
        </w:trPr>
        <w:tc>
          <w:tcPr>
            <w:tcW w:w="33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Net (loss) income</w:t>
            </w:r>
          </w:p>
        </w:tc>
        <w:tc>
          <w:tcPr>
            <w:tcW w:w="13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(232,853)</w:t>
            </w:r>
          </w:p>
        </w:tc>
        <w:tc>
          <w:tcPr>
            <w:tcW w:w="12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8,373</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(224,480)</w:t>
            </w:r>
          </w:p>
        </w:tc>
        <w:tc>
          <w:tcPr>
            <w:tcW w:w="12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8,565,011</w:t>
            </w: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14,041</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8,579,052</w:t>
            </w:r>
          </w:p>
        </w:tc>
      </w:tr>
      <w:tr>
        <w:trPr>
          <w:trHeight w:val="126"/>
        </w:trPr>
        <w:tc>
          <w:tcPr>
            <w:tcW w:w="33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(Loss) income per common share:</w:t>
            </w: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26"/>
        </w:trPr>
        <w:tc>
          <w:tcPr>
            <w:tcW w:w="3360" w:type="dxa"/>
            <w:vAlign w:val="bottom"/>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Basic</w:t>
            </w:r>
          </w:p>
        </w:tc>
        <w:tc>
          <w:tcPr>
            <w:tcW w:w="13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(0.03)</w:t>
            </w:r>
          </w:p>
        </w:tc>
        <w:tc>
          <w:tcPr>
            <w:tcW w:w="12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0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(0.02)</w:t>
            </w:r>
          </w:p>
        </w:tc>
        <w:tc>
          <w:tcPr>
            <w:tcW w:w="12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0.93</w:t>
            </w:r>
          </w:p>
        </w:tc>
        <w:tc>
          <w:tcPr>
            <w:tcW w:w="1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0.93</w:t>
            </w:r>
          </w:p>
        </w:tc>
      </w:tr>
      <w:tr>
        <w:trPr>
          <w:trHeight w:val="155"/>
        </w:trPr>
        <w:tc>
          <w:tcPr>
            <w:tcW w:w="33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Diluted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(0.03)</w:t>
            </w: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(0.02)</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0.87</w:t>
            </w: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0.88</w:t>
            </w:r>
          </w:p>
        </w:tc>
      </w:tr>
    </w:tbl>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840" w:type="dxa"/>
            <w:vAlign w:val="bottom"/>
          </w:tcPr>
          <w:p>
            <w:pPr>
              <w:spacing w:after="0"/>
              <w:rPr>
                <w:sz w:val="13"/>
                <w:szCs w:val="13"/>
                <w:color w:val="auto"/>
              </w:rPr>
            </w:pPr>
          </w:p>
        </w:tc>
        <w:tc>
          <w:tcPr>
            <w:tcW w:w="17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Nine Months Ended March 31, 2023</w:t>
            </w:r>
          </w:p>
        </w:tc>
        <w:tc>
          <w:tcPr>
            <w:tcW w:w="16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24"/>
        </w:trPr>
        <w:tc>
          <w:tcPr>
            <w:tcW w:w="5840" w:type="dxa"/>
            <w:vAlign w:val="bottom"/>
          </w:tcPr>
          <w:p>
            <w:pPr>
              <w:spacing w:after="0"/>
              <w:rPr>
                <w:sz w:val="10"/>
                <w:szCs w:val="10"/>
                <w:color w:val="auto"/>
              </w:rPr>
            </w:pPr>
          </w:p>
        </w:tc>
        <w:tc>
          <w:tcPr>
            <w:tcW w:w="1760" w:type="dxa"/>
            <w:vAlign w:val="bottom"/>
            <w:gridSpan w:val="2"/>
          </w:tcPr>
          <w:p>
            <w:pPr>
              <w:jc w:val="right"/>
              <w:ind w:right="300"/>
              <w:spacing w:after="0" w:line="124" w:lineRule="exact"/>
              <w:rPr>
                <w:sz w:val="20"/>
                <w:szCs w:val="20"/>
                <w:color w:val="auto"/>
              </w:rPr>
            </w:pPr>
            <w:r>
              <w:rPr>
                <w:rFonts w:ascii="Times New Roman" w:cs="Times New Roman" w:eastAsia="Times New Roman" w:hAnsi="Times New Roman"/>
                <w:sz w:val="12"/>
                <w:szCs w:val="12"/>
                <w:b w:val="1"/>
                <w:bCs w:val="1"/>
                <w:color w:val="auto"/>
              </w:rPr>
              <w:t>As Previously Reported</w:t>
            </w:r>
          </w:p>
        </w:tc>
        <w:tc>
          <w:tcPr>
            <w:tcW w:w="140" w:type="dxa"/>
            <w:vAlign w:val="bottom"/>
          </w:tcPr>
          <w:p>
            <w:pPr>
              <w:spacing w:after="0"/>
              <w:rPr>
                <w:sz w:val="10"/>
                <w:szCs w:val="10"/>
                <w:color w:val="auto"/>
              </w:rPr>
            </w:pPr>
          </w:p>
        </w:tc>
        <w:tc>
          <w:tcPr>
            <w:tcW w:w="1880" w:type="dxa"/>
            <w:vAlign w:val="bottom"/>
            <w:gridSpan w:val="2"/>
          </w:tcPr>
          <w:p>
            <w:pPr>
              <w:jc w:val="right"/>
              <w:ind w:right="820"/>
              <w:spacing w:after="0" w:line="124" w:lineRule="exact"/>
              <w:rPr>
                <w:sz w:val="20"/>
                <w:szCs w:val="20"/>
                <w:color w:val="auto"/>
              </w:rPr>
            </w:pPr>
            <w:r>
              <w:rPr>
                <w:rFonts w:ascii="Times New Roman" w:cs="Times New Roman" w:eastAsia="Times New Roman" w:hAnsi="Times New Roman"/>
                <w:sz w:val="12"/>
                <w:szCs w:val="12"/>
                <w:b w:val="1"/>
                <w:bCs w:val="1"/>
                <w:color w:val="auto"/>
              </w:rPr>
              <w:t>Revision</w:t>
            </w:r>
          </w:p>
        </w:tc>
        <w:tc>
          <w:tcPr>
            <w:tcW w:w="1680" w:type="dxa"/>
            <w:vAlign w:val="bottom"/>
          </w:tcPr>
          <w:p>
            <w:pPr>
              <w:jc w:val="right"/>
              <w:ind w:right="500"/>
              <w:spacing w:after="0" w:line="124" w:lineRule="exact"/>
              <w:rPr>
                <w:sz w:val="20"/>
                <w:szCs w:val="20"/>
                <w:color w:val="auto"/>
              </w:rPr>
            </w:pPr>
            <w:r>
              <w:rPr>
                <w:rFonts w:ascii="Times New Roman" w:cs="Times New Roman" w:eastAsia="Times New Roman" w:hAnsi="Times New Roman"/>
                <w:sz w:val="12"/>
                <w:szCs w:val="12"/>
                <w:b w:val="1"/>
                <w:bCs w:val="1"/>
                <w:color w:val="auto"/>
              </w:rPr>
              <w:t>As Revised</w:t>
            </w:r>
          </w:p>
        </w:tc>
        <w:tc>
          <w:tcPr>
            <w:tcW w:w="20" w:type="dxa"/>
            <w:vAlign w:val="bottom"/>
          </w:tcPr>
          <w:p>
            <w:pPr>
              <w:spacing w:after="0"/>
              <w:rPr>
                <w:sz w:val="10"/>
                <w:szCs w:val="10"/>
                <w:color w:val="auto"/>
              </w:rPr>
            </w:pPr>
          </w:p>
        </w:tc>
      </w:tr>
      <w:tr>
        <w:trPr>
          <w:trHeight w:val="124"/>
        </w:trPr>
        <w:tc>
          <w:tcPr>
            <w:tcW w:w="584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Condensed consolidated statement of cash flows:</w:t>
            </w:r>
          </w:p>
        </w:tc>
        <w:tc>
          <w:tcPr>
            <w:tcW w:w="17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68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r>
      <w:tr>
        <w:trPr>
          <w:trHeight w:val="126"/>
        </w:trPr>
        <w:tc>
          <w:tcPr>
            <w:tcW w:w="584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Net income</w:t>
            </w:r>
          </w:p>
        </w:tc>
        <w:tc>
          <w:tcPr>
            <w:tcW w:w="1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8,565,011</w:t>
            </w:r>
          </w:p>
        </w:tc>
        <w:tc>
          <w:tcPr>
            <w:tcW w:w="60" w:type="dxa"/>
            <w:vAlign w:val="bottom"/>
          </w:tcPr>
          <w:p>
            <w:pPr>
              <w:spacing w:after="0"/>
              <w:rPr>
                <w:sz w:val="10"/>
                <w:szCs w:val="10"/>
                <w:color w:val="auto"/>
              </w:rPr>
            </w:pPr>
          </w:p>
        </w:tc>
        <w:tc>
          <w:tcPr>
            <w:tcW w:w="1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14,041</w:t>
            </w:r>
          </w:p>
        </w:tc>
        <w:tc>
          <w:tcPr>
            <w:tcW w:w="200" w:type="dxa"/>
            <w:vAlign w:val="bottom"/>
          </w:tcPr>
          <w:p>
            <w:pPr>
              <w:spacing w:after="0"/>
              <w:rPr>
                <w:sz w:val="10"/>
                <w:szCs w:val="10"/>
                <w:color w:val="auto"/>
              </w:rPr>
            </w:pPr>
          </w:p>
        </w:tc>
        <w:tc>
          <w:tcPr>
            <w:tcW w:w="1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8,579,052</w:t>
            </w:r>
          </w:p>
        </w:tc>
        <w:tc>
          <w:tcPr>
            <w:tcW w:w="20" w:type="dxa"/>
            <w:vAlign w:val="bottom"/>
          </w:tcPr>
          <w:p>
            <w:pPr>
              <w:spacing w:after="0"/>
              <w:rPr>
                <w:sz w:val="10"/>
                <w:szCs w:val="10"/>
                <w:color w:val="auto"/>
              </w:rPr>
            </w:pPr>
          </w:p>
        </w:tc>
      </w:tr>
      <w:tr>
        <w:trPr>
          <w:trHeight w:val="126"/>
        </w:trPr>
        <w:tc>
          <w:tcPr>
            <w:tcW w:w="5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Prepaid expenses and other current assets</w:t>
            </w:r>
          </w:p>
        </w:tc>
        <w:tc>
          <w:tcPr>
            <w:tcW w:w="176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2"/>
                <w:szCs w:val="12"/>
                <w:color w:val="auto"/>
              </w:rPr>
              <w:t>(205,710)</w:t>
            </w:r>
          </w:p>
        </w:tc>
        <w:tc>
          <w:tcPr>
            <w:tcW w:w="2020" w:type="dxa"/>
            <w:vAlign w:val="bottom"/>
            <w:gridSpan w:val="3"/>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(28,082)</w:t>
            </w:r>
          </w:p>
        </w:tc>
        <w:tc>
          <w:tcPr>
            <w:tcW w:w="1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(233,792)</w:t>
            </w:r>
          </w:p>
        </w:tc>
        <w:tc>
          <w:tcPr>
            <w:tcW w:w="20" w:type="dxa"/>
            <w:vAlign w:val="bottom"/>
          </w:tcPr>
          <w:p>
            <w:pPr>
              <w:spacing w:after="0"/>
              <w:rPr>
                <w:sz w:val="10"/>
                <w:szCs w:val="10"/>
                <w:color w:val="auto"/>
              </w:rPr>
            </w:pPr>
          </w:p>
        </w:tc>
      </w:tr>
      <w:tr>
        <w:trPr>
          <w:trHeight w:val="126"/>
        </w:trPr>
        <w:tc>
          <w:tcPr>
            <w:tcW w:w="584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Accrued liabilities</w:t>
            </w:r>
          </w:p>
        </w:tc>
        <w:tc>
          <w:tcPr>
            <w:tcW w:w="17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310,466</w:t>
            </w:r>
          </w:p>
        </w:tc>
        <w:tc>
          <w:tcPr>
            <w:tcW w:w="60" w:type="dxa"/>
            <w:vAlign w:val="bottom"/>
          </w:tcPr>
          <w:p>
            <w:pPr>
              <w:spacing w:after="0"/>
              <w:rPr>
                <w:sz w:val="10"/>
                <w:szCs w:val="10"/>
                <w:color w:val="auto"/>
              </w:rPr>
            </w:pPr>
          </w:p>
        </w:tc>
        <w:tc>
          <w:tcPr>
            <w:tcW w:w="1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14,041</w:t>
            </w:r>
          </w:p>
        </w:tc>
        <w:tc>
          <w:tcPr>
            <w:tcW w:w="200" w:type="dxa"/>
            <w:vAlign w:val="bottom"/>
          </w:tcPr>
          <w:p>
            <w:pPr>
              <w:spacing w:after="0"/>
              <w:rPr>
                <w:sz w:val="10"/>
                <w:szCs w:val="10"/>
                <w:color w:val="auto"/>
              </w:rPr>
            </w:pPr>
          </w:p>
        </w:tc>
        <w:tc>
          <w:tcPr>
            <w:tcW w:w="16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324,507</w:t>
            </w:r>
          </w:p>
        </w:tc>
        <w:tc>
          <w:tcPr>
            <w:tcW w:w="20" w:type="dxa"/>
            <w:vAlign w:val="bottom"/>
          </w:tcPr>
          <w:p>
            <w:pPr>
              <w:spacing w:after="0"/>
              <w:rPr>
                <w:sz w:val="10"/>
                <w:szCs w:val="10"/>
                <w:color w:val="auto"/>
              </w:rPr>
            </w:pPr>
          </w:p>
        </w:tc>
      </w:tr>
      <w:tr>
        <w:trPr>
          <w:trHeight w:val="126"/>
        </w:trPr>
        <w:tc>
          <w:tcPr>
            <w:tcW w:w="58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1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10,616,726</w:t>
            </w:r>
          </w:p>
        </w:tc>
        <w:tc>
          <w:tcPr>
            <w:tcW w:w="60" w:type="dxa"/>
            <w:vAlign w:val="bottom"/>
            <w:shd w:val="clear" w:color="auto" w:fill="CCEEFF"/>
          </w:tcPr>
          <w:p>
            <w:pPr>
              <w:spacing w:after="0"/>
              <w:rPr>
                <w:sz w:val="10"/>
                <w:szCs w:val="10"/>
                <w:color w:val="auto"/>
              </w:rPr>
            </w:pPr>
          </w:p>
        </w:tc>
        <w:tc>
          <w:tcPr>
            <w:tcW w:w="18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(0)</w:t>
            </w:r>
          </w:p>
        </w:tc>
        <w:tc>
          <w:tcPr>
            <w:tcW w:w="200" w:type="dxa"/>
            <w:vAlign w:val="bottom"/>
            <w:shd w:val="clear" w:color="auto" w:fill="CCEEFF"/>
          </w:tcPr>
          <w:p>
            <w:pPr>
              <w:spacing w:after="0"/>
              <w:rPr>
                <w:sz w:val="10"/>
                <w:szCs w:val="10"/>
                <w:color w:val="auto"/>
              </w:rPr>
            </w:pPr>
          </w:p>
        </w:tc>
        <w:tc>
          <w:tcPr>
            <w:tcW w:w="16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10,616,726</w:t>
            </w:r>
          </w:p>
        </w:tc>
        <w:tc>
          <w:tcPr>
            <w:tcW w:w="20" w:type="dxa"/>
            <w:vAlign w:val="bottom"/>
          </w:tcPr>
          <w:p>
            <w:pPr>
              <w:spacing w:after="0"/>
              <w:rPr>
                <w:sz w:val="10"/>
                <w:szCs w:val="10"/>
                <w:color w:val="auto"/>
              </w:rPr>
            </w:pPr>
          </w:p>
        </w:tc>
      </w:tr>
    </w:tbl>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effect of this revision on the opening balances within the Company's condensed consolidated statements of stockholders' equity for the three and nine months ended March 31, 2024 and 2023 was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220" w:type="dxa"/>
            <w:vAlign w:val="bottom"/>
          </w:tcPr>
          <w:p>
            <w:pPr>
              <w:spacing w:after="0"/>
              <w:rPr>
                <w:sz w:val="13"/>
                <w:szCs w:val="13"/>
                <w:color w:val="auto"/>
              </w:rPr>
            </w:pPr>
          </w:p>
        </w:tc>
        <w:tc>
          <w:tcPr>
            <w:tcW w:w="2120" w:type="dxa"/>
            <w:vAlign w:val="bottom"/>
            <w:gridSpan w:val="2"/>
          </w:tcPr>
          <w:p>
            <w:pPr>
              <w:ind w:left="340"/>
              <w:spacing w:after="0"/>
              <w:rPr>
                <w:sz w:val="20"/>
                <w:szCs w:val="20"/>
                <w:color w:val="auto"/>
              </w:rPr>
            </w:pPr>
            <w:r>
              <w:rPr>
                <w:rFonts w:ascii="Times New Roman" w:cs="Times New Roman" w:eastAsia="Times New Roman" w:hAnsi="Times New Roman"/>
                <w:sz w:val="12"/>
                <w:szCs w:val="12"/>
                <w:b w:val="1"/>
                <w:bCs w:val="1"/>
                <w:color w:val="auto"/>
              </w:rPr>
              <w:t>As Previously Reported</w:t>
            </w:r>
          </w:p>
        </w:tc>
        <w:tc>
          <w:tcPr>
            <w:tcW w:w="1300" w:type="dxa"/>
            <w:vAlign w:val="bottom"/>
          </w:tcPr>
          <w:p>
            <w:pPr>
              <w:ind w:left="720"/>
              <w:spacing w:after="0"/>
              <w:rPr>
                <w:sz w:val="20"/>
                <w:szCs w:val="20"/>
                <w:color w:val="auto"/>
              </w:rPr>
            </w:pPr>
            <w:r>
              <w:rPr>
                <w:rFonts w:ascii="Times New Roman" w:cs="Times New Roman" w:eastAsia="Times New Roman" w:hAnsi="Times New Roman"/>
                <w:sz w:val="12"/>
                <w:szCs w:val="12"/>
                <w:b w:val="1"/>
                <w:bCs w:val="1"/>
                <w:color w:val="auto"/>
              </w:rPr>
              <w:t>Revision</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As Revised</w:t>
            </w:r>
          </w:p>
        </w:tc>
      </w:tr>
      <w:tr>
        <w:trPr>
          <w:trHeight w:val="124"/>
        </w:trPr>
        <w:tc>
          <w:tcPr>
            <w:tcW w:w="5220" w:type="dxa"/>
            <w:vAlign w:val="bottom"/>
            <w:tcBorders>
              <w:top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color w:val="auto"/>
              </w:rPr>
              <w:t>Retained earnings, June 30, 2022</w:t>
            </w:r>
          </w:p>
        </w:tc>
        <w:tc>
          <w:tcPr>
            <w:tcW w:w="190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9,998,348</w:t>
            </w:r>
          </w:p>
        </w:tc>
        <w:tc>
          <w:tcPr>
            <w:tcW w:w="220" w:type="dxa"/>
            <w:vAlign w:val="bottom"/>
            <w:tcBorders>
              <w:top w:val="single" w:sz="8" w:color="CCEEFF"/>
            </w:tcBorders>
            <w:shd w:val="clear" w:color="auto" w:fill="CCEEFF"/>
          </w:tcPr>
          <w:p>
            <w:pPr>
              <w:spacing w:after="0"/>
              <w:rPr>
                <w:sz w:val="10"/>
                <w:szCs w:val="10"/>
                <w:color w:val="auto"/>
              </w:rPr>
            </w:pPr>
          </w:p>
        </w:tc>
        <w:tc>
          <w:tcPr>
            <w:tcW w:w="13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329,551</w:t>
            </w:r>
          </w:p>
        </w:tc>
        <w:tc>
          <w:tcPr>
            <w:tcW w:w="220" w:type="dxa"/>
            <w:vAlign w:val="bottom"/>
            <w:tcBorders>
              <w:top w:val="single" w:sz="8" w:color="CCEEFF"/>
            </w:tcBorders>
            <w:shd w:val="clear" w:color="auto" w:fill="CCEEFF"/>
          </w:tcPr>
          <w:p>
            <w:pPr>
              <w:spacing w:after="0"/>
              <w:rPr>
                <w:sz w:val="10"/>
                <w:szCs w:val="10"/>
                <w:color w:val="auto"/>
              </w:rPr>
            </w:pPr>
          </w:p>
        </w:tc>
        <w:tc>
          <w:tcPr>
            <w:tcW w:w="1860" w:type="dxa"/>
            <w:vAlign w:val="bottom"/>
            <w:tcBorders>
              <w:top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10,327,899</w:t>
            </w:r>
          </w:p>
        </w:tc>
      </w:tr>
      <w:tr>
        <w:trPr>
          <w:trHeight w:val="126"/>
        </w:trPr>
        <w:tc>
          <w:tcPr>
            <w:tcW w:w="52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Total stockholders' equity, June 30, 2022</w:t>
            </w:r>
          </w:p>
        </w:tc>
        <w:tc>
          <w:tcPr>
            <w:tcW w:w="19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22,697,489</w:t>
            </w: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329,551</w:t>
            </w:r>
          </w:p>
        </w:tc>
        <w:tc>
          <w:tcPr>
            <w:tcW w:w="220" w:type="dxa"/>
            <w:vAlign w:val="bottom"/>
          </w:tcPr>
          <w:p>
            <w:pPr>
              <w:spacing w:after="0"/>
              <w:rPr>
                <w:sz w:val="10"/>
                <w:szCs w:val="10"/>
                <w:color w:val="auto"/>
              </w:rPr>
            </w:pPr>
          </w:p>
        </w:tc>
        <w:tc>
          <w:tcPr>
            <w:tcW w:w="1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23,027,040</w:t>
            </w:r>
          </w:p>
        </w:tc>
      </w:tr>
      <w:tr>
        <w:trPr>
          <w:trHeight w:val="126"/>
        </w:trPr>
        <w:tc>
          <w:tcPr>
            <w:tcW w:w="5220" w:type="dxa"/>
            <w:vAlign w:val="bottom"/>
            <w:shd w:val="clear" w:color="auto" w:fill="CCEEFF"/>
          </w:tcPr>
          <w:p>
            <w:pPr>
              <w:spacing w:after="0"/>
              <w:rPr>
                <w:sz w:val="10"/>
                <w:szCs w:val="10"/>
                <w:color w:val="auto"/>
              </w:rPr>
            </w:pPr>
          </w:p>
        </w:tc>
        <w:tc>
          <w:tcPr>
            <w:tcW w:w="1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spacing w:after="0"/>
              <w:rPr>
                <w:sz w:val="10"/>
                <w:szCs w:val="10"/>
                <w:color w:val="auto"/>
              </w:rPr>
            </w:pPr>
          </w:p>
        </w:tc>
      </w:tr>
      <w:tr>
        <w:trPr>
          <w:trHeight w:val="126"/>
        </w:trPr>
        <w:tc>
          <w:tcPr>
            <w:tcW w:w="522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Retained earnings, December 31, 2022</w:t>
            </w:r>
          </w:p>
        </w:tc>
        <w:tc>
          <w:tcPr>
            <w:tcW w:w="190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18,796,212</w:t>
            </w: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8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335,219</w:t>
            </w:r>
          </w:p>
        </w:tc>
        <w:tc>
          <w:tcPr>
            <w:tcW w:w="220" w:type="dxa"/>
            <w:vAlign w:val="bottom"/>
          </w:tcPr>
          <w:p>
            <w:pPr>
              <w:spacing w:after="0"/>
              <w:rPr>
                <w:sz w:val="10"/>
                <w:szCs w:val="10"/>
                <w:color w:val="auto"/>
              </w:rPr>
            </w:pPr>
          </w:p>
        </w:tc>
        <w:tc>
          <w:tcPr>
            <w:tcW w:w="1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19,131,431</w:t>
            </w:r>
          </w:p>
        </w:tc>
      </w:tr>
      <w:tr>
        <w:trPr>
          <w:trHeight w:val="126"/>
        </w:trPr>
        <w:tc>
          <w:tcPr>
            <w:tcW w:w="5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Total stockholders' equity, December 31, 2022</w:t>
            </w:r>
          </w:p>
        </w:tc>
        <w:tc>
          <w:tcPr>
            <w:tcW w:w="19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31,751,001</w:t>
            </w:r>
          </w:p>
        </w:tc>
        <w:tc>
          <w:tcPr>
            <w:tcW w:w="2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335,219</w:t>
            </w: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32,086,220</w:t>
            </w:r>
          </w:p>
        </w:tc>
      </w:tr>
      <w:tr>
        <w:trPr>
          <w:trHeight w:val="126"/>
        </w:trPr>
        <w:tc>
          <w:tcPr>
            <w:tcW w:w="52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60" w:type="dxa"/>
            <w:vAlign w:val="bottom"/>
          </w:tcPr>
          <w:p>
            <w:pPr>
              <w:spacing w:after="0"/>
              <w:rPr>
                <w:sz w:val="10"/>
                <w:szCs w:val="10"/>
                <w:color w:val="auto"/>
              </w:rPr>
            </w:pPr>
          </w:p>
        </w:tc>
      </w:tr>
      <w:tr>
        <w:trPr>
          <w:trHeight w:val="126"/>
        </w:trPr>
        <w:tc>
          <w:tcPr>
            <w:tcW w:w="52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Retained earnings, June 30, 2023</w:t>
            </w:r>
          </w:p>
        </w:tc>
        <w:tc>
          <w:tcPr>
            <w:tcW w:w="19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18,300,728</w:t>
            </w:r>
          </w:p>
        </w:tc>
        <w:tc>
          <w:tcPr>
            <w:tcW w:w="2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346,383</w:t>
            </w:r>
          </w:p>
        </w:tc>
        <w:tc>
          <w:tcPr>
            <w:tcW w:w="220" w:type="dxa"/>
            <w:vAlign w:val="bottom"/>
            <w:shd w:val="clear" w:color="auto" w:fill="CCEEFF"/>
          </w:tcPr>
          <w:p>
            <w:pPr>
              <w:spacing w:after="0"/>
              <w:rPr>
                <w:sz w:val="10"/>
                <w:szCs w:val="10"/>
                <w:color w:val="auto"/>
              </w:rPr>
            </w:pPr>
          </w:p>
        </w:tc>
        <w:tc>
          <w:tcPr>
            <w:tcW w:w="18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18,647,111</w:t>
            </w:r>
          </w:p>
        </w:tc>
      </w:tr>
      <w:tr>
        <w:trPr>
          <w:trHeight w:val="155"/>
        </w:trPr>
        <w:tc>
          <w:tcPr>
            <w:tcW w:w="5220" w:type="dxa"/>
            <w:vAlign w:val="bottom"/>
          </w:tcPr>
          <w:p>
            <w:pPr>
              <w:spacing w:after="0"/>
              <w:rPr>
                <w:sz w:val="20"/>
                <w:szCs w:val="20"/>
                <w:color w:val="auto"/>
              </w:rPr>
            </w:pPr>
            <w:r>
              <w:rPr>
                <w:rFonts w:ascii="Times New Roman" w:cs="Times New Roman" w:eastAsia="Times New Roman" w:hAnsi="Times New Roman"/>
                <w:sz w:val="12"/>
                <w:szCs w:val="12"/>
                <w:color w:val="auto"/>
              </w:rPr>
              <w:t>Total stockholders' equity, June 30, 2023</w:t>
            </w:r>
          </w:p>
        </w:tc>
        <w:tc>
          <w:tcPr>
            <w:tcW w:w="1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31,460,895</w:t>
            </w: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346,383</w:t>
            </w:r>
          </w:p>
        </w:tc>
        <w:tc>
          <w:tcPr>
            <w:tcW w:w="22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31,807,278</w:t>
            </w:r>
          </w:p>
        </w:tc>
      </w:tr>
    </w:tbl>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condensed consolidated statements of stockholders' equity for the three and nine months ended March 31, 2023 have also been revised to reflect the impacts to net (loss) income as presented above.</w:t>
      </w:r>
    </w:p>
    <w:p>
      <w:pPr>
        <w:spacing w:after="0" w:line="1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23" w:lineRule="exact"/>
        <w:rPr>
          <w:sz w:val="20"/>
          <w:szCs w:val="20"/>
          <w:color w:val="auto"/>
        </w:rPr>
      </w:pPr>
    </w:p>
    <w:p>
      <w:pPr>
        <w:ind w:left="248" w:hanging="248"/>
        <w:spacing w:after="0"/>
        <w:tabs>
          <w:tab w:leader="none" w:pos="248"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w:t>
      </w:r>
    </w:p>
    <w:p>
      <w:pPr>
        <w:spacing w:after="0" w:line="123" w:lineRule="exact"/>
        <w:rPr>
          <w:sz w:val="20"/>
          <w:szCs w:val="20"/>
          <w:color w:val="auto"/>
        </w:rPr>
      </w:pPr>
    </w:p>
    <w:p>
      <w:pPr>
        <w:ind w:left="8" w:right="80"/>
        <w:spacing w:after="0" w:line="235" w:lineRule="auto"/>
        <w:rPr>
          <w:sz w:val="20"/>
          <w:szCs w:val="20"/>
          <w:color w:val="auto"/>
        </w:rPr>
      </w:pPr>
      <w:r>
        <w:rPr>
          <w:rFonts w:ascii="Times New Roman" w:cs="Times New Roman" w:eastAsia="Times New Roman" w:hAnsi="Times New Roman"/>
          <w:sz w:val="12"/>
          <w:szCs w:val="12"/>
          <w:color w:val="auto"/>
        </w:rPr>
        <w:t>Debt securities are classified as held-to-maturity as the Company has the positive intent and ability to hold them to maturity. The securities are carried at amortized cost as current or noncurrent based upon maturity date and unrealized gains and losses are recognized when realized. The amortized cost of debt securities is adjusted for amortization of premium and accretion of discounts to maturity. Such amortization or accretion is included in interest income, along with other interest on cash and cash equivalents.</w:t>
      </w:r>
    </w:p>
    <w:p>
      <w:pPr>
        <w:spacing w:after="0" w:line="108" w:lineRule="exact"/>
        <w:rPr>
          <w:sz w:val="20"/>
          <w:szCs w:val="20"/>
          <w:color w:val="auto"/>
        </w:rPr>
      </w:pPr>
    </w:p>
    <w:p>
      <w:pPr>
        <w:ind w:left="248" w:hanging="248"/>
        <w:spacing w:after="0"/>
        <w:tabs>
          <w:tab w:leader="none" w:pos="248"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FAIR VALUE MEASUREMENTS</w:t>
      </w:r>
    </w:p>
    <w:p>
      <w:pPr>
        <w:spacing w:after="0" w:line="123" w:lineRule="exact"/>
        <w:rPr>
          <w:sz w:val="20"/>
          <w:szCs w:val="20"/>
          <w:color w:val="auto"/>
        </w:rPr>
      </w:pPr>
    </w:p>
    <w:p>
      <w:pPr>
        <w:ind w:left="8" w:right="180"/>
        <w:spacing w:after="0" w:line="235" w:lineRule="auto"/>
        <w:rPr>
          <w:sz w:val="20"/>
          <w:szCs w:val="20"/>
          <w:color w:val="auto"/>
        </w:rPr>
      </w:pPr>
      <w:r>
        <w:rPr>
          <w:rFonts w:ascii="Times New Roman" w:cs="Times New Roman" w:eastAsia="Times New Roman" w:hAnsi="Times New Roman"/>
          <w:sz w:val="12"/>
          <w:szCs w:val="12"/>
          <w:color w:val="auto"/>
        </w:rPr>
        <w:t>Fair value is the price that would be received to sell an asset or paid to transfer a liability in an ordinary transaction between market participants at the measurement date. A three-tier hierarchy prioritizes the inputs used in measuring fair value. These tiers include Level 1, defined as observable inputs such as quoted market prices in active markets; Level 2, defined as inputs other than quoted market prices in active markets that are either directly or indirectly observable; and Level 3, defined as unobservable inputs in which little or no market data exists, therefore, requiring an entity to develop its own assumptions. The asset's or liability's fair value measurement within the hierarchy is based on the lowest level of any input that is significant to the fair value measurement.</w:t>
      </w:r>
    </w:p>
    <w:p>
      <w:pPr>
        <w:spacing w:after="0" w:line="108" w:lineRule="exact"/>
        <w:rPr>
          <w:sz w:val="20"/>
          <w:szCs w:val="20"/>
          <w:color w:val="auto"/>
        </w:rPr>
      </w:pPr>
    </w:p>
    <w:p>
      <w:pPr>
        <w:ind w:left="8" w:right="300"/>
        <w:spacing w:after="0" w:line="248" w:lineRule="auto"/>
        <w:rPr>
          <w:sz w:val="20"/>
          <w:szCs w:val="20"/>
          <w:color w:val="auto"/>
        </w:rPr>
      </w:pPr>
      <w:r>
        <w:rPr>
          <w:rFonts w:ascii="Times New Roman" w:cs="Times New Roman" w:eastAsia="Times New Roman" w:hAnsi="Times New Roman"/>
          <w:sz w:val="12"/>
          <w:szCs w:val="12"/>
          <w:color w:val="auto"/>
        </w:rPr>
        <w:t>The Company’s U.S. treasury debt securities are recorded at amortized cost with fair value disclosure. They have a readily available market price (Level 1 input), thus a lesser degree of judgment needs to be used in measuring fair value, and fair value was determined by quoted market prices.</w:t>
      </w:r>
    </w:p>
    <w:p>
      <w:pPr>
        <w:spacing w:after="0" w:line="102" w:lineRule="exact"/>
        <w:rPr>
          <w:sz w:val="20"/>
          <w:szCs w:val="20"/>
          <w:color w:val="auto"/>
        </w:rPr>
      </w:pPr>
    </w:p>
    <w:p>
      <w:pPr>
        <w:ind w:left="228" w:hanging="228"/>
        <w:spacing w:after="0"/>
        <w:tabs>
          <w:tab w:leader="none" w:pos="228"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INCOME TAXES</w:t>
      </w:r>
    </w:p>
    <w:p>
      <w:pPr>
        <w:spacing w:after="0" w:line="123" w:lineRule="exact"/>
        <w:rPr>
          <w:sz w:val="20"/>
          <w:szCs w:val="20"/>
          <w:color w:val="auto"/>
        </w:rPr>
      </w:pPr>
    </w:p>
    <w:p>
      <w:pPr>
        <w:ind w:left="8" w:right="240"/>
        <w:spacing w:after="0" w:line="248" w:lineRule="auto"/>
        <w:rPr>
          <w:sz w:val="20"/>
          <w:szCs w:val="20"/>
          <w:color w:val="auto"/>
        </w:rPr>
      </w:pPr>
      <w:r>
        <w:rPr>
          <w:rFonts w:ascii="Times New Roman" w:cs="Times New Roman" w:eastAsia="Times New Roman" w:hAnsi="Times New Roman"/>
          <w:sz w:val="12"/>
          <w:szCs w:val="12"/>
          <w:color w:val="auto"/>
        </w:rPr>
        <w:t>We estimate a provision for income taxes based on the effective tax rate expected to be applicable for the fiscal year. If the actual results are different from these estimates, adjustments to the effective tax rate may be required in the period such determination is made. Additionally, discrete items are treated separately from the effective rate analysis and are recorded separately as an income tax provision or benefit at the time they are recognized.</w:t>
      </w:r>
    </w:p>
    <w:p>
      <w:pPr>
        <w:spacing w:after="0" w:line="102" w:lineRule="exact"/>
        <w:rPr>
          <w:sz w:val="20"/>
          <w:szCs w:val="20"/>
          <w:color w:val="auto"/>
        </w:rPr>
      </w:pPr>
    </w:p>
    <w:p>
      <w:pPr>
        <w:ind w:left="8" w:right="60"/>
        <w:spacing w:after="0" w:line="230" w:lineRule="auto"/>
        <w:rPr>
          <w:sz w:val="20"/>
          <w:szCs w:val="20"/>
          <w:color w:val="auto"/>
        </w:rPr>
      </w:pPr>
      <w:r>
        <w:rPr>
          <w:rFonts w:ascii="Times New Roman" w:cs="Times New Roman" w:eastAsia="Times New Roman" w:hAnsi="Times New Roman"/>
          <w:sz w:val="12"/>
          <w:szCs w:val="12"/>
          <w:color w:val="auto"/>
        </w:rPr>
        <w:t>During the three and nine months ended March 31, 2024, a state income tax provision of $1,522 and $5,281 was recorded for the minimum tax payments expected given the taxable net losses in those periods. During the three and nine months ended March 31, 2024, a federal tax benefit of $82,653 was recorded as a result of the return-to-provision (RTP) adjustments recorded in the period identified. The adjustments were identified when the prior year tax returns were filed in the third quarter of fiscal year 2024. For the nine months ended March 31, 2023, as a result of additional income generated by licensing fees, offset by related legal fees and expenses, taxable income for the period was generated. For NOLs arising in tax years beginning after December 31, 2017, the Tax Cuts and Jobs Act (“TCJA”) limits the NOL deduction to 80 percent of taxable income. As such, the utilization of the Company’s net operating loss carryforwards from fiscal years after 2018 is limited to 80 percent of the resulting taxable income. Utilization of net operating loss carryforwards significantly reduced the taxable income for the nine-month period ended March 31, 2023, resulting in federal and state tax provisions of $374,714 and $89,214, respectively. For the three months ended March 31, 2023, a state income tax benefit of $30,910 was recorded mainly as a result of an update to state apportionment percentages. No federal tax benefit or provision was recorded for that quarter.</w:t>
      </w:r>
    </w:p>
    <w:p>
      <w:pPr>
        <w:spacing w:after="0" w:line="109" w:lineRule="exact"/>
        <w:rPr>
          <w:sz w:val="20"/>
          <w:szCs w:val="20"/>
          <w:color w:val="auto"/>
        </w:rPr>
      </w:pPr>
    </w:p>
    <w:p>
      <w:pPr>
        <w:ind w:left="8"/>
        <w:spacing w:after="0" w:line="262" w:lineRule="auto"/>
        <w:rPr>
          <w:sz w:val="20"/>
          <w:szCs w:val="20"/>
          <w:color w:val="auto"/>
        </w:rPr>
      </w:pPr>
      <w:r>
        <w:rPr>
          <w:rFonts w:ascii="Times New Roman" w:cs="Times New Roman" w:eastAsia="Times New Roman" w:hAnsi="Times New Roman"/>
          <w:sz w:val="11"/>
          <w:szCs w:val="11"/>
          <w:color w:val="auto"/>
        </w:rPr>
        <w:t>The effective tax rate was less than 1%, excluding the RTP adjustments, for the nine months ended March 31, 2024 and 5.1% for the nine months ended March 31, 2023. It is anticipated that the effective rate in the current year and future years will continue to be reduced by utilization of a portion or all of the federal and state net operating loss carryforwards that existed as of June 30, 2023. The Company's taxable loss generated during the first nine months of fiscal year 2024 increased the tax loss carryforward as of March 31, 2024 to approximately $32,800,000. Given the taxable loss for the nine-month period, the expectation for utilization of the estimated tax loss carryforward is lessened, and as such, the future realization of this continues to be uncertain. The valuation allowance was adjusted to continue to fully offset the net deferred tax asset as there is sufficient negative evidence to support a full valuation allowance.</w:t>
      </w:r>
    </w:p>
    <w:p>
      <w:pPr>
        <w:spacing w:after="0" w:line="22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215265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120" w:right="31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38"/>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1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394"/>
        </w:trPr>
        <w:tc>
          <w:tcPr>
            <w:tcW w:w="68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Temporary differences which give rise to deferred income tax assets and liabilities at March 31, 2024 and June 30, 2023 include:</w:t>
            </w: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70"/>
        </w:trPr>
        <w:tc>
          <w:tcPr>
            <w:tcW w:w="840" w:type="dxa"/>
            <w:vAlign w:val="bottom"/>
            <w:tcBorders>
              <w:bottom w:val="single" w:sz="8" w:color="CCEEFF"/>
            </w:tcBorders>
          </w:tcPr>
          <w:p>
            <w:pPr>
              <w:spacing w:after="0"/>
              <w:rPr>
                <w:sz w:val="23"/>
                <w:szCs w:val="23"/>
                <w:color w:val="auto"/>
              </w:rPr>
            </w:pPr>
          </w:p>
        </w:tc>
        <w:tc>
          <w:tcPr>
            <w:tcW w:w="598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640" w:type="dxa"/>
            <w:vAlign w:val="bottom"/>
            <w:tcBorders>
              <w:bottom w:val="single" w:sz="8" w:color="auto"/>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680"/>
              <w:spacing w:after="0"/>
              <w:rPr>
                <w:sz w:val="20"/>
                <w:szCs w:val="20"/>
                <w:color w:val="auto"/>
              </w:rPr>
            </w:pPr>
            <w:r>
              <w:rPr>
                <w:rFonts w:ascii="Times New Roman" w:cs="Times New Roman" w:eastAsia="Times New Roman" w:hAnsi="Times New Roman"/>
                <w:sz w:val="12"/>
                <w:szCs w:val="12"/>
                <w:b w:val="1"/>
                <w:bCs w:val="1"/>
                <w:color w:val="auto"/>
              </w:rPr>
              <w:t>June 30, 2023</w:t>
            </w:r>
          </w:p>
        </w:tc>
      </w:tr>
      <w:tr>
        <w:trPr>
          <w:trHeight w:val="115"/>
        </w:trPr>
        <w:tc>
          <w:tcPr>
            <w:tcW w:w="682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Deferred income tax assets:</w:t>
            </w:r>
          </w:p>
        </w:tc>
        <w:tc>
          <w:tcPr>
            <w:tcW w:w="1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r>
      <w:tr>
        <w:trPr>
          <w:trHeight w:val="126"/>
        </w:trPr>
        <w:tc>
          <w:tcPr>
            <w:tcW w:w="682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Deferred compensation</w:t>
            </w:r>
          </w:p>
        </w:tc>
        <w:tc>
          <w:tcPr>
            <w:tcW w:w="1500" w:type="dxa"/>
            <w:vAlign w:val="bottom"/>
          </w:tcPr>
          <w:p>
            <w:pPr>
              <w:jc w:val="right"/>
              <w:ind w:right="138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516,932</w:t>
            </w:r>
          </w:p>
        </w:tc>
        <w:tc>
          <w:tcPr>
            <w:tcW w:w="180" w:type="dxa"/>
            <w:vAlign w:val="bottom"/>
          </w:tcPr>
          <w:p>
            <w:pPr>
              <w:spacing w:after="0"/>
              <w:rPr>
                <w:sz w:val="10"/>
                <w:szCs w:val="10"/>
                <w:color w:val="auto"/>
              </w:rPr>
            </w:pPr>
          </w:p>
        </w:tc>
        <w:tc>
          <w:tcPr>
            <w:tcW w:w="400" w:type="dxa"/>
            <w:vAlign w:val="bottom"/>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491,608</w:t>
            </w:r>
          </w:p>
        </w:tc>
      </w:tr>
      <w:tr>
        <w:trPr>
          <w:trHeight w:val="126"/>
        </w:trPr>
        <w:tc>
          <w:tcPr>
            <w:tcW w:w="682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Stock-based compensation</w:t>
            </w:r>
          </w:p>
        </w:tc>
        <w:tc>
          <w:tcPr>
            <w:tcW w:w="15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77,530</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7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117,607</w:t>
            </w:r>
          </w:p>
        </w:tc>
      </w:tr>
      <w:tr>
        <w:trPr>
          <w:trHeight w:val="126"/>
        </w:trPr>
        <w:tc>
          <w:tcPr>
            <w:tcW w:w="682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Accrued expenses and reserves</w:t>
            </w:r>
          </w:p>
        </w:tc>
        <w:tc>
          <w:tcPr>
            <w:tcW w:w="150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524,892</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571,719</w:t>
            </w:r>
          </w:p>
        </w:tc>
      </w:tr>
      <w:tr>
        <w:trPr>
          <w:trHeight w:val="126"/>
        </w:trPr>
        <w:tc>
          <w:tcPr>
            <w:tcW w:w="682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Deferred revenue</w:t>
            </w:r>
          </w:p>
        </w:tc>
        <w:tc>
          <w:tcPr>
            <w:tcW w:w="15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100,973</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7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138,665</w:t>
            </w:r>
          </w:p>
        </w:tc>
      </w:tr>
      <w:tr>
        <w:trPr>
          <w:trHeight w:val="126"/>
        </w:trPr>
        <w:tc>
          <w:tcPr>
            <w:tcW w:w="682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Federal and state net operating loss carryforwards</w:t>
            </w:r>
          </w:p>
        </w:tc>
        <w:tc>
          <w:tcPr>
            <w:tcW w:w="150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8,456,728</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8,216,671</w:t>
            </w:r>
          </w:p>
        </w:tc>
      </w:tr>
      <w:tr>
        <w:trPr>
          <w:trHeight w:val="126"/>
        </w:trPr>
        <w:tc>
          <w:tcPr>
            <w:tcW w:w="682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IRC Section 174 research and development costs</w:t>
            </w:r>
          </w:p>
        </w:tc>
        <w:tc>
          <w:tcPr>
            <w:tcW w:w="15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113,521</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7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63,855</w:t>
            </w:r>
          </w:p>
        </w:tc>
      </w:tr>
      <w:tr>
        <w:trPr>
          <w:trHeight w:val="144"/>
        </w:trPr>
        <w:tc>
          <w:tcPr>
            <w:tcW w:w="68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Credit carryforwards</w:t>
            </w:r>
          </w:p>
        </w:tc>
        <w:tc>
          <w:tcPr>
            <w:tcW w:w="15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188,893</w:t>
            </w: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169,552</w:t>
            </w:r>
          </w:p>
        </w:tc>
      </w:tr>
      <w:tr>
        <w:trPr>
          <w:trHeight w:val="126"/>
        </w:trPr>
        <w:tc>
          <w:tcPr>
            <w:tcW w:w="682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Equipment and leasehold improvements</w:t>
            </w:r>
          </w:p>
        </w:tc>
        <w:tc>
          <w:tcPr>
            <w:tcW w:w="15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130,637</w:t>
            </w: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7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136,294</w:t>
            </w:r>
          </w:p>
        </w:tc>
      </w:tr>
      <w:tr>
        <w:trPr>
          <w:trHeight w:val="126"/>
        </w:trPr>
        <w:tc>
          <w:tcPr>
            <w:tcW w:w="682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Lease liability</w:t>
            </w:r>
          </w:p>
        </w:tc>
        <w:tc>
          <w:tcPr>
            <w:tcW w:w="1500" w:type="dxa"/>
            <w:vAlign w:val="bottom"/>
          </w:tcPr>
          <w:p>
            <w:pPr>
              <w:spacing w:after="0"/>
              <w:rPr>
                <w:sz w:val="10"/>
                <w:szCs w:val="10"/>
                <w:color w:val="auto"/>
              </w:rPr>
            </w:pPr>
          </w:p>
        </w:tc>
        <w:tc>
          <w:tcPr>
            <w:tcW w:w="6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684,670</w:t>
            </w: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744,431</w:t>
            </w:r>
          </w:p>
        </w:tc>
      </w:tr>
      <w:tr>
        <w:trPr>
          <w:trHeight w:val="126"/>
        </w:trPr>
        <w:tc>
          <w:tcPr>
            <w:tcW w:w="682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Valuation allowance</w:t>
            </w:r>
          </w:p>
        </w:tc>
        <w:tc>
          <w:tcPr>
            <w:tcW w:w="15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w w:val="99"/>
              </w:rPr>
              <w:t>(10,093,269)</w:t>
            </w:r>
          </w:p>
        </w:tc>
        <w:tc>
          <w:tcPr>
            <w:tcW w:w="400" w:type="dxa"/>
            <w:vAlign w:val="bottom"/>
            <w:shd w:val="clear" w:color="auto" w:fill="CCEEFF"/>
          </w:tcPr>
          <w:p>
            <w:pPr>
              <w:spacing w:after="0"/>
              <w:rPr>
                <w:sz w:val="10"/>
                <w:szCs w:val="10"/>
                <w:color w:val="auto"/>
              </w:rPr>
            </w:pPr>
          </w:p>
        </w:tc>
        <w:tc>
          <w:tcPr>
            <w:tcW w:w="17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(9,906,018)</w:t>
            </w:r>
          </w:p>
        </w:tc>
      </w:tr>
      <w:tr>
        <w:trPr>
          <w:trHeight w:val="115"/>
        </w:trPr>
        <w:tc>
          <w:tcPr>
            <w:tcW w:w="6820" w:type="dxa"/>
            <w:vAlign w:val="bottom"/>
            <w:gridSpan w:val="2"/>
          </w:tcPr>
          <w:p>
            <w:pPr>
              <w:ind w:left="140"/>
              <w:spacing w:after="0" w:line="115" w:lineRule="exact"/>
              <w:rPr>
                <w:sz w:val="20"/>
                <w:szCs w:val="20"/>
                <w:color w:val="auto"/>
              </w:rPr>
            </w:pPr>
            <w:r>
              <w:rPr>
                <w:rFonts w:ascii="Times New Roman" w:cs="Times New Roman" w:eastAsia="Times New Roman" w:hAnsi="Times New Roman"/>
                <w:sz w:val="12"/>
                <w:szCs w:val="12"/>
                <w:color w:val="auto"/>
              </w:rPr>
              <w:t>Total deferred income tax assets</w:t>
            </w:r>
          </w:p>
        </w:tc>
        <w:tc>
          <w:tcPr>
            <w:tcW w:w="15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701,507</w:t>
            </w:r>
          </w:p>
        </w:tc>
        <w:tc>
          <w:tcPr>
            <w:tcW w:w="18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760" w:type="dxa"/>
            <w:vAlign w:val="bottom"/>
            <w:tcBorders>
              <w:top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744,384</w:t>
            </w:r>
          </w:p>
        </w:tc>
      </w:tr>
      <w:tr>
        <w:trPr>
          <w:trHeight w:val="126"/>
        </w:trPr>
        <w:tc>
          <w:tcPr>
            <w:tcW w:w="840" w:type="dxa"/>
            <w:vAlign w:val="bottom"/>
            <w:shd w:val="clear" w:color="auto" w:fill="CCEEFF"/>
          </w:tcPr>
          <w:p>
            <w:pPr>
              <w:spacing w:after="0"/>
              <w:rPr>
                <w:sz w:val="10"/>
                <w:szCs w:val="10"/>
                <w:color w:val="auto"/>
              </w:rPr>
            </w:pPr>
          </w:p>
        </w:tc>
        <w:tc>
          <w:tcPr>
            <w:tcW w:w="598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760" w:type="dxa"/>
            <w:vAlign w:val="bottom"/>
            <w:shd w:val="clear" w:color="auto" w:fill="CCEEFF"/>
          </w:tcPr>
          <w:p>
            <w:pPr>
              <w:spacing w:after="0"/>
              <w:rPr>
                <w:sz w:val="10"/>
                <w:szCs w:val="10"/>
                <w:color w:val="auto"/>
              </w:rPr>
            </w:pPr>
          </w:p>
        </w:tc>
      </w:tr>
      <w:tr>
        <w:trPr>
          <w:trHeight w:val="126"/>
        </w:trPr>
        <w:tc>
          <w:tcPr>
            <w:tcW w:w="682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Deferred income tax liabilities:</w:t>
            </w:r>
          </w:p>
        </w:tc>
        <w:tc>
          <w:tcPr>
            <w:tcW w:w="1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760" w:type="dxa"/>
            <w:vAlign w:val="bottom"/>
          </w:tcPr>
          <w:p>
            <w:pPr>
              <w:spacing w:after="0"/>
              <w:rPr>
                <w:sz w:val="10"/>
                <w:szCs w:val="10"/>
                <w:color w:val="auto"/>
              </w:rPr>
            </w:pPr>
          </w:p>
        </w:tc>
      </w:tr>
      <w:tr>
        <w:trPr>
          <w:trHeight w:val="126"/>
        </w:trPr>
        <w:tc>
          <w:tcPr>
            <w:tcW w:w="6820" w:type="dxa"/>
            <w:vAlign w:val="bottom"/>
            <w:gridSpan w:val="2"/>
            <w:shd w:val="clear" w:color="auto" w:fill="CCEEFF"/>
          </w:tcPr>
          <w:p>
            <w:pPr>
              <w:ind w:left="60"/>
              <w:spacing w:after="0" w:line="126" w:lineRule="exact"/>
              <w:rPr>
                <w:sz w:val="20"/>
                <w:szCs w:val="20"/>
                <w:color w:val="auto"/>
              </w:rPr>
            </w:pPr>
            <w:r>
              <w:rPr>
                <w:rFonts w:ascii="Times New Roman" w:cs="Times New Roman" w:eastAsia="Times New Roman" w:hAnsi="Times New Roman"/>
                <w:sz w:val="12"/>
                <w:szCs w:val="12"/>
                <w:color w:val="auto"/>
              </w:rPr>
              <w:t>ROU asset</w:t>
            </w:r>
          </w:p>
        </w:tc>
        <w:tc>
          <w:tcPr>
            <w:tcW w:w="15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(680,737)</w:t>
            </w:r>
          </w:p>
        </w:tc>
        <w:tc>
          <w:tcPr>
            <w:tcW w:w="400" w:type="dxa"/>
            <w:vAlign w:val="bottom"/>
            <w:shd w:val="clear" w:color="auto" w:fill="CCEEFF"/>
          </w:tcPr>
          <w:p>
            <w:pPr>
              <w:spacing w:after="0"/>
              <w:rPr>
                <w:sz w:val="10"/>
                <w:szCs w:val="10"/>
                <w:color w:val="auto"/>
              </w:rPr>
            </w:pPr>
          </w:p>
        </w:tc>
        <w:tc>
          <w:tcPr>
            <w:tcW w:w="17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(742,386)</w:t>
            </w:r>
          </w:p>
        </w:tc>
      </w:tr>
      <w:tr>
        <w:trPr>
          <w:trHeight w:val="126"/>
        </w:trPr>
        <w:tc>
          <w:tcPr>
            <w:tcW w:w="6820" w:type="dxa"/>
            <w:vAlign w:val="bottom"/>
            <w:gridSpan w:val="2"/>
          </w:tcPr>
          <w:p>
            <w:pPr>
              <w:ind w:left="60"/>
              <w:spacing w:after="0" w:line="126" w:lineRule="exact"/>
              <w:rPr>
                <w:sz w:val="20"/>
                <w:szCs w:val="20"/>
                <w:color w:val="auto"/>
              </w:rPr>
            </w:pPr>
            <w:r>
              <w:rPr>
                <w:rFonts w:ascii="Times New Roman" w:cs="Times New Roman" w:eastAsia="Times New Roman" w:hAnsi="Times New Roman"/>
                <w:sz w:val="12"/>
                <w:szCs w:val="12"/>
                <w:color w:val="auto"/>
              </w:rPr>
              <w:t>Other</w:t>
            </w:r>
          </w:p>
        </w:tc>
        <w:tc>
          <w:tcPr>
            <w:tcW w:w="1500" w:type="dxa"/>
            <w:vAlign w:val="bottom"/>
          </w:tcPr>
          <w:p>
            <w:pPr>
              <w:spacing w:after="0"/>
              <w:rPr>
                <w:sz w:val="10"/>
                <w:szCs w:val="10"/>
                <w:color w:val="auto"/>
              </w:rPr>
            </w:pPr>
          </w:p>
        </w:tc>
        <w:tc>
          <w:tcPr>
            <w:tcW w:w="82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(20,770)</w:t>
            </w:r>
          </w:p>
        </w:tc>
        <w:tc>
          <w:tcPr>
            <w:tcW w:w="400" w:type="dxa"/>
            <w:vAlign w:val="bottom"/>
          </w:tcPr>
          <w:p>
            <w:pPr>
              <w:spacing w:after="0"/>
              <w:rPr>
                <w:sz w:val="10"/>
                <w:szCs w:val="10"/>
                <w:color w:val="auto"/>
              </w:rPr>
            </w:pPr>
          </w:p>
        </w:tc>
        <w:tc>
          <w:tcPr>
            <w:tcW w:w="17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(1,998)</w:t>
            </w:r>
          </w:p>
        </w:tc>
      </w:tr>
      <w:tr>
        <w:trPr>
          <w:trHeight w:val="115"/>
        </w:trPr>
        <w:tc>
          <w:tcPr>
            <w:tcW w:w="6820" w:type="dxa"/>
            <w:vAlign w:val="bottom"/>
            <w:tcBorders>
              <w:top w:val="single" w:sz="8" w:color="CCEEFF"/>
            </w:tcBorders>
            <w:gridSpan w:val="2"/>
            <w:shd w:val="clear" w:color="auto" w:fill="CCEEFF"/>
          </w:tcPr>
          <w:p>
            <w:pPr>
              <w:ind w:left="140"/>
              <w:spacing w:after="0" w:line="115" w:lineRule="exact"/>
              <w:rPr>
                <w:sz w:val="20"/>
                <w:szCs w:val="20"/>
                <w:color w:val="auto"/>
              </w:rPr>
            </w:pPr>
            <w:r>
              <w:rPr>
                <w:rFonts w:ascii="Times New Roman" w:cs="Times New Roman" w:eastAsia="Times New Roman" w:hAnsi="Times New Roman"/>
                <w:sz w:val="12"/>
                <w:szCs w:val="12"/>
                <w:color w:val="auto"/>
              </w:rPr>
              <w:t>Total deferred income tax liabilities</w:t>
            </w:r>
          </w:p>
        </w:tc>
        <w:tc>
          <w:tcPr>
            <w:tcW w:w="1500" w:type="dxa"/>
            <w:vAlign w:val="bottom"/>
            <w:tcBorders>
              <w:top w:val="single" w:sz="8" w:color="auto"/>
              <w:bottom w:val="single" w:sz="8" w:color="auto"/>
            </w:tcBorders>
            <w:shd w:val="clear" w:color="auto" w:fill="CCEEFF"/>
          </w:tcPr>
          <w:p>
            <w:pPr>
              <w:spacing w:after="0"/>
              <w:rPr>
                <w:sz w:val="10"/>
                <w:szCs w:val="10"/>
                <w:color w:val="auto"/>
              </w:rPr>
            </w:pP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(701,507)</w:t>
            </w:r>
          </w:p>
        </w:tc>
        <w:tc>
          <w:tcPr>
            <w:tcW w:w="1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bottom w:val="single" w:sz="8" w:color="auto"/>
            </w:tcBorders>
            <w:shd w:val="clear" w:color="auto" w:fill="CCEEFF"/>
          </w:tcPr>
          <w:p>
            <w:pPr>
              <w:spacing w:after="0"/>
              <w:rPr>
                <w:sz w:val="10"/>
                <w:szCs w:val="10"/>
                <w:color w:val="auto"/>
              </w:rPr>
            </w:pPr>
          </w:p>
        </w:tc>
        <w:tc>
          <w:tcPr>
            <w:tcW w:w="17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(744,384)</w:t>
            </w:r>
          </w:p>
        </w:tc>
      </w:tr>
      <w:tr>
        <w:trPr>
          <w:trHeight w:val="122"/>
        </w:trPr>
        <w:tc>
          <w:tcPr>
            <w:tcW w:w="6820" w:type="dxa"/>
            <w:vAlign w:val="bottom"/>
            <w:gridSpan w:val="2"/>
          </w:tcPr>
          <w:p>
            <w:pPr>
              <w:ind w:left="140"/>
              <w:spacing w:after="0" w:line="115" w:lineRule="exact"/>
              <w:rPr>
                <w:sz w:val="20"/>
                <w:szCs w:val="20"/>
                <w:color w:val="auto"/>
              </w:rPr>
            </w:pPr>
            <w:r>
              <w:rPr>
                <w:rFonts w:ascii="Times New Roman" w:cs="Times New Roman" w:eastAsia="Times New Roman" w:hAnsi="Times New Roman"/>
                <w:sz w:val="12"/>
                <w:szCs w:val="12"/>
                <w:color w:val="auto"/>
              </w:rPr>
              <w:t>Net deferred income tax assets</w:t>
            </w:r>
          </w:p>
        </w:tc>
        <w:tc>
          <w:tcPr>
            <w:tcW w:w="1500" w:type="dxa"/>
            <w:vAlign w:val="bottom"/>
            <w:tcBorders>
              <w:bottom w:val="single" w:sz="8" w:color="auto"/>
            </w:tcBorders>
          </w:tcPr>
          <w:p>
            <w:pPr>
              <w:jc w:val="right"/>
              <w:ind w:right="138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0"/>
                <w:szCs w:val="10"/>
                <w:color w:val="auto"/>
              </w:rPr>
            </w:pPr>
          </w:p>
        </w:tc>
        <w:tc>
          <w:tcPr>
            <w:tcW w:w="400" w:type="dxa"/>
            <w:vAlign w:val="bottom"/>
            <w:tcBorders>
              <w:bottom w:val="single" w:sz="8" w:color="auto"/>
            </w:tcBorders>
          </w:tcPr>
          <w:p>
            <w:pPr>
              <w:jc w:val="right"/>
              <w:ind w:right="2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7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w:t>
            </w: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  LEGAL COSTS</w:t>
      </w:r>
    </w:p>
    <w:p>
      <w:pPr>
        <w:spacing w:after="0" w:line="123"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12"/>
          <w:szCs w:val="12"/>
          <w:color w:val="auto"/>
        </w:rPr>
        <w:t>All legal costs related to litigation for which the Company is liable, are charged to operations as incurred, except contingent legal fees as described below. Proceeds from the settlement of disputes are recorded in other income when the amounts are determinable, and collection is certain. Related license proceeds are considered functional and as such are recorded at a point in time, based on the underlying agreement. Related contingent legal fees and expenses are recorded in selling, general and administrative expense at that time. The contingent legal fee expenses could have a material effect on the results of operations, however, timing and impact is uncertain and is dependent on the resolution of related litigation.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  OTHER INCOME</w:t>
      </w:r>
    </w:p>
    <w:p>
      <w:pPr>
        <w:spacing w:after="0" w:line="123" w:lineRule="exact"/>
        <w:rPr>
          <w:sz w:val="20"/>
          <w:szCs w:val="20"/>
          <w:color w:val="auto"/>
        </w:rPr>
      </w:pPr>
    </w:p>
    <w:p>
      <w:pPr>
        <w:ind w:right="400"/>
        <w:spacing w:after="0" w:line="248" w:lineRule="auto"/>
        <w:rPr>
          <w:sz w:val="20"/>
          <w:szCs w:val="20"/>
          <w:color w:val="auto"/>
        </w:rPr>
      </w:pPr>
      <w:r>
        <w:rPr>
          <w:rFonts w:ascii="Times New Roman" w:cs="Times New Roman" w:eastAsia="Times New Roman" w:hAnsi="Times New Roman"/>
          <w:sz w:val="12"/>
          <w:szCs w:val="12"/>
          <w:color w:val="auto"/>
        </w:rPr>
        <w:t>No other income was received in the three and nine months ended March 31, 2024. In the three and nine months ending March 31, 2023, the Company received licensing proceeds of $0 and $33,000,000, respectively, which was recorded as other income.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income is shown as a separate line on the condensed consolidated statements of operations.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  DEFERRED COMPENSATION</w:t>
      </w:r>
    </w:p>
    <w:p>
      <w:pPr>
        <w:spacing w:after="0" w:line="114"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2"/>
          <w:szCs w:val="12"/>
          <w:color w:val="auto"/>
        </w:rPr>
        <w:t>The Company’s deferred compensation liability is for a current officer and is calculated based on years of service and compensation, along with various assumptions related to expected retirement date, discount rates, and mortality tables. The related expense is calculated using the net present value of the expected payments and is included in selling, general and administrative expenses in the condensed consolidated statements of operations. The deferred compensation liability recorded at March 31, 2024 and June 30, 2023 is $2,110,507 and $1,997,120, respectively. The increase in the deferred compensation liability for the current officer, and thus the compensation expense recorded during the nine months ended March 31, 2024, was due mainly to the annual increase in the future payments under the arrangement. Compensation expense recorded under this arrangement was $113,387 for the first three quarters of the current fiscal year. Deferred compensation expense of $62,783 was recognized in the nine months ended March 31, 2023.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RECENTLY ADOPTED ACCOUNTING PRONOUNCEMENTS</w:t>
      </w:r>
    </w:p>
    <w:p>
      <w:pPr>
        <w:spacing w:after="0" w:line="121"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2"/>
          <w:szCs w:val="12"/>
          <w:color w:val="363839"/>
        </w:rPr>
        <w:t xml:space="preserve">Effective July 1, 2023, the Company adopted Accounting Standards Update (ASU) 2016-13, </w:t>
      </w:r>
      <w:r>
        <w:rPr>
          <w:rFonts w:ascii="Times New Roman" w:cs="Times New Roman" w:eastAsia="Times New Roman" w:hAnsi="Times New Roman"/>
          <w:sz w:val="12"/>
          <w:szCs w:val="12"/>
          <w:i w:val="1"/>
          <w:iCs w:val="1"/>
          <w:color w:val="363839"/>
        </w:rPr>
        <w:t>Financial Instruments—Credit Losses (Topic 326): Measurement of Credit Losses on Financial Instruments</w:t>
      </w:r>
      <w:r>
        <w:rPr>
          <w:rFonts w:ascii="Times New Roman" w:cs="Times New Roman" w:eastAsia="Times New Roman" w:hAnsi="Times New Roman"/>
          <w:sz w:val="12"/>
          <w:szCs w:val="12"/>
          <w:color w:val="363839"/>
        </w:rPr>
        <w:t>. This standard replaced the incurred loss methodology with an expected loss methodology that is referred to as the current expected credit loss (“CECL”) methodology. CECL requires an estimate of credit losses for the remaining estimated life of the financial asset using historical experience, current conditions, and reasonable and supportable forecasts and generally applies to financial assets measured at amortized cost, including trade receivables and held-to-maturity debt securities. Financial assets measured at amortized cost are presented at the net amount expected to be collected by using an allowance for credit losses. The standard’s main goal is to improve financial reporting by requiring earlier recognition of credit losses on financing receivables and other financial assets, including accounts receivable.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209550</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10" w:name="page11"/>
    <w:bookmarkEnd w:id="10"/>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363839"/>
        </w:rPr>
        <w:t>The Company adopted ASU 2016-13 effective July 1, 2023 using the modified retrospective approach for all financial assets measured at amortized cost.</w:t>
      </w:r>
    </w:p>
    <w:p>
      <w:pPr>
        <w:spacing w:after="0" w:line="177" w:lineRule="exact"/>
        <w:rPr>
          <w:sz w:val="20"/>
          <w:szCs w:val="20"/>
          <w:color w:val="auto"/>
        </w:rPr>
      </w:pPr>
    </w:p>
    <w:p>
      <w:pPr>
        <w:ind w:left="8" w:right="40"/>
        <w:spacing w:after="0" w:line="235" w:lineRule="auto"/>
        <w:rPr>
          <w:sz w:val="20"/>
          <w:szCs w:val="20"/>
          <w:color w:val="auto"/>
        </w:rPr>
      </w:pPr>
      <w:r>
        <w:rPr>
          <w:rFonts w:ascii="Times New Roman" w:cs="Times New Roman" w:eastAsia="Times New Roman" w:hAnsi="Times New Roman"/>
          <w:sz w:val="12"/>
          <w:szCs w:val="12"/>
          <w:u w:val="single" w:color="auto"/>
          <w:color w:val="363839"/>
        </w:rPr>
        <w:t>Allowance for Credit Losses – Accounts Receivable:</w:t>
      </w:r>
      <w:r>
        <w:rPr>
          <w:rFonts w:ascii="Times New Roman" w:cs="Times New Roman" w:eastAsia="Times New Roman" w:hAnsi="Times New Roman"/>
          <w:sz w:val="12"/>
          <w:szCs w:val="12"/>
          <w:color w:val="363839"/>
        </w:rPr>
        <w:t xml:space="preserve"> The allowance for credit losses is deducted from the cost basis of the receivable to present the net amount expected to be collected on the accounts. The Company measures expected credit losses for accounts receivable using the aging method whereby expected credit losses are determined on the basis of how long a receivable has been outstanding. Historical loss data is utilized to estimate expected losses as the risk characteristics of the customer base and the Company’s credit practices have not changed significantly over time. The estimates are then adjusted for current conditions, such as level of inflation and the potential change in credit availability given rising interest rates, as well as supportable and reasonable forecasts indicating whether these conditions will continue into the future or new ones will arise that need to be considered.</w:t>
      </w:r>
    </w:p>
    <w:p>
      <w:pPr>
        <w:spacing w:after="0" w:line="153" w:lineRule="exact"/>
        <w:rPr>
          <w:sz w:val="20"/>
          <w:szCs w:val="20"/>
          <w:color w:val="auto"/>
        </w:rPr>
      </w:pPr>
    </w:p>
    <w:p>
      <w:pPr>
        <w:ind w:left="8" w:right="60"/>
        <w:spacing w:after="0" w:line="264" w:lineRule="auto"/>
        <w:rPr>
          <w:sz w:val="20"/>
          <w:szCs w:val="20"/>
          <w:color w:val="auto"/>
        </w:rPr>
      </w:pPr>
      <w:r>
        <w:rPr>
          <w:rFonts w:ascii="Times New Roman" w:cs="Times New Roman" w:eastAsia="Times New Roman" w:hAnsi="Times New Roman"/>
          <w:sz w:val="12"/>
          <w:szCs w:val="12"/>
          <w:color w:val="363839"/>
        </w:rPr>
        <w:t>Upon evaluation of the impact of this ASU, the Company concluded that minimal reserves were necessary as historical losses were immaterial, and, based on the qualitative and quantitative analysis performed in accordance with Topic 326 requirements, the Company determined there was no reasonable expectation of significant credit losses associated with the Company’s accounts receivable in the foreseeable future.</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u w:val="single" w:color="auto"/>
          <w:color w:val="363839"/>
        </w:rPr>
        <w:t>Allowance for Credit Losses - Held-to Maturity Debt Securities:</w:t>
      </w:r>
      <w:r>
        <w:rPr>
          <w:rFonts w:ascii="Times New Roman" w:cs="Times New Roman" w:eastAsia="Times New Roman" w:hAnsi="Times New Roman"/>
          <w:sz w:val="12"/>
          <w:szCs w:val="12"/>
          <w:color w:val="363839"/>
        </w:rPr>
        <w:t xml:space="preserve"> </w:t>
      </w:r>
      <w:r>
        <w:rPr>
          <w:rFonts w:ascii="Times New Roman" w:cs="Times New Roman" w:eastAsia="Times New Roman" w:hAnsi="Times New Roman"/>
          <w:sz w:val="12"/>
          <w:szCs w:val="12"/>
          <w:color w:val="363839"/>
          <w:highlight w:val="white"/>
        </w:rPr>
        <w:t>The Company did not record an allowance for credit losses on held-to-maturity U.S. Treasury securities as these securities have the following characteristics that support</w:t>
      </w:r>
    </w:p>
    <w:p>
      <w:pPr>
        <w:ind w:left="8"/>
        <w:spacing w:after="0"/>
        <w:rPr>
          <w:sz w:val="20"/>
          <w:szCs w:val="20"/>
          <w:color w:val="auto"/>
        </w:rPr>
      </w:pPr>
      <w:r>
        <w:rPr>
          <w:rFonts w:ascii="Times New Roman" w:cs="Times New Roman" w:eastAsia="Times New Roman" w:hAnsi="Times New Roman"/>
          <w:sz w:val="12"/>
          <w:szCs w:val="12"/>
          <w:color w:val="363839"/>
          <w:highlight w:val="white"/>
        </w:rPr>
        <w:t>a zero loss expectation: they are explicitly guaranteed by the U.S. government, are consistently highly rated by major rating agencies and have a long history of no credit losses.</w:t>
      </w:r>
    </w:p>
    <w:p>
      <w:pPr>
        <w:spacing w:after="0" w:line="165" w:lineRule="exact"/>
        <w:rPr>
          <w:sz w:val="20"/>
          <w:szCs w:val="20"/>
          <w:color w:val="auto"/>
        </w:rPr>
      </w:pPr>
    </w:p>
    <w:p>
      <w:pPr>
        <w:ind w:left="8" w:right="280"/>
        <w:spacing w:after="0" w:line="248" w:lineRule="auto"/>
        <w:rPr>
          <w:sz w:val="20"/>
          <w:szCs w:val="20"/>
          <w:color w:val="auto"/>
        </w:rPr>
      </w:pPr>
      <w:r>
        <w:rPr>
          <w:rFonts w:ascii="Times New Roman" w:cs="Times New Roman" w:eastAsia="Times New Roman" w:hAnsi="Times New Roman"/>
          <w:sz w:val="12"/>
          <w:szCs w:val="12"/>
          <w:color w:val="363839"/>
        </w:rPr>
        <w:t>The adoption of ASU 2016-13 did not have a material impact on the Company’s condensed consolidated financial statements. Results for reporting periods beginning after July 1, 2023 are presented under CECL while prior period amounts continue to be reported in accordance with previously applicable accounting standards (“Incurred Loss”).</w:t>
      </w:r>
    </w:p>
    <w:p>
      <w:pPr>
        <w:spacing w:after="0" w:line="147" w:lineRule="exact"/>
        <w:rPr>
          <w:sz w:val="20"/>
          <w:szCs w:val="20"/>
          <w:color w:val="auto"/>
        </w:rPr>
      </w:pPr>
    </w:p>
    <w:p>
      <w:pPr>
        <w:ind w:left="8" w:right="240"/>
        <w:spacing w:after="0" w:line="264" w:lineRule="auto"/>
        <w:rPr>
          <w:sz w:val="20"/>
          <w:szCs w:val="20"/>
          <w:color w:val="auto"/>
        </w:rPr>
      </w:pPr>
      <w:r>
        <w:rPr>
          <w:rFonts w:ascii="Times New Roman" w:cs="Times New Roman" w:eastAsia="Times New Roman" w:hAnsi="Times New Roman"/>
          <w:sz w:val="12"/>
          <w:szCs w:val="12"/>
          <w:color w:val="363839"/>
        </w:rPr>
        <w:t>Other recent accounting pronouncements issued by the FASB, including its Emerging Issues Task Force, the American Institute of Certified Public Accountants, and the Securities and Exchange Commission did not have, or are not expected by management to have a material impact on the Company’s present or future consolidated financial statements.</w:t>
      </w:r>
    </w:p>
    <w:p>
      <w:pPr>
        <w:spacing w:after="0" w:line="227" w:lineRule="exact"/>
        <w:rPr>
          <w:sz w:val="20"/>
          <w:szCs w:val="20"/>
          <w:color w:val="auto"/>
        </w:rPr>
      </w:pPr>
    </w:p>
    <w:p>
      <w:pPr>
        <w:ind w:left="208" w:hanging="208"/>
        <w:spacing w:after="0"/>
        <w:tabs>
          <w:tab w:leader="none" w:pos="208"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INVESTMENTS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tables summarize the unrealized positions for the held-to-maturity debt securities as of March 31, 2024 and June 30, 2023:</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38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780" w:type="dxa"/>
            <w:vAlign w:val="bottom"/>
            <w:tcBorders>
              <w:bottom w:val="single" w:sz="8" w:color="auto"/>
            </w:tcBorders>
            <w:gridSpan w:val="5"/>
          </w:tcPr>
          <w:p>
            <w:pPr>
              <w:ind w:left="128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3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r>
      <w:tr>
        <w:trPr>
          <w:trHeight w:val="115"/>
        </w:trPr>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jc w:val="right"/>
              <w:ind w:right="240"/>
              <w:spacing w:after="0" w:line="115" w:lineRule="exact"/>
              <w:rPr>
                <w:sz w:val="20"/>
                <w:szCs w:val="20"/>
                <w:color w:val="auto"/>
              </w:rPr>
            </w:pPr>
            <w:r>
              <w:rPr>
                <w:rFonts w:ascii="Times New Roman" w:cs="Times New Roman" w:eastAsia="Times New Roman" w:hAnsi="Times New Roman"/>
                <w:sz w:val="12"/>
                <w:szCs w:val="12"/>
                <w:b w:val="1"/>
                <w:bCs w:val="1"/>
                <w:color w:val="auto"/>
              </w:rPr>
              <w:t>Amortized cost basis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2"/>
                <w:szCs w:val="12"/>
                <w:b w:val="1"/>
                <w:bCs w:val="1"/>
                <w:color w:val="auto"/>
              </w:rPr>
              <w:t>Gross unrealized gains</w:t>
            </w:r>
          </w:p>
        </w:tc>
        <w:tc>
          <w:tcPr>
            <w:tcW w:w="340" w:type="dxa"/>
            <w:vAlign w:val="bottom"/>
          </w:tcPr>
          <w:p>
            <w:pPr>
              <w:spacing w:after="0"/>
              <w:rPr>
                <w:sz w:val="10"/>
                <w:szCs w:val="10"/>
                <w:color w:val="auto"/>
              </w:rPr>
            </w:pPr>
          </w:p>
        </w:tc>
        <w:tc>
          <w:tcPr>
            <w:tcW w:w="174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Gross unrealized losses</w:t>
            </w:r>
          </w:p>
        </w:tc>
        <w:tc>
          <w:tcPr>
            <w:tcW w:w="300" w:type="dxa"/>
            <w:vAlign w:val="bottom"/>
          </w:tcPr>
          <w:p>
            <w:pPr>
              <w:spacing w:after="0"/>
              <w:rPr>
                <w:sz w:val="10"/>
                <w:szCs w:val="10"/>
                <w:color w:val="auto"/>
              </w:rPr>
            </w:pPr>
          </w:p>
        </w:tc>
        <w:tc>
          <w:tcPr>
            <w:tcW w:w="1320" w:type="dxa"/>
            <w:vAlign w:val="bottom"/>
          </w:tcPr>
          <w:p>
            <w:pPr>
              <w:jc w:val="right"/>
              <w:ind w:right="480"/>
              <w:spacing w:after="0" w:line="115" w:lineRule="exact"/>
              <w:rPr>
                <w:sz w:val="20"/>
                <w:szCs w:val="20"/>
                <w:color w:val="auto"/>
              </w:rPr>
            </w:pPr>
            <w:r>
              <w:rPr>
                <w:rFonts w:ascii="Times New Roman" w:cs="Times New Roman" w:eastAsia="Times New Roman" w:hAnsi="Times New Roman"/>
                <w:sz w:val="12"/>
                <w:szCs w:val="12"/>
                <w:b w:val="1"/>
                <w:bCs w:val="1"/>
                <w:color w:val="auto"/>
              </w:rPr>
              <w:t>Fair Value</w:t>
            </w:r>
          </w:p>
        </w:tc>
      </w:tr>
      <w:tr>
        <w:trPr>
          <w:trHeight w:val="115"/>
        </w:trPr>
        <w:tc>
          <w:tcPr>
            <w:tcW w:w="38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US Treasury securities</w:t>
            </w:r>
          </w:p>
        </w:tc>
        <w:tc>
          <w:tcPr>
            <w:tcW w:w="180" w:type="dxa"/>
            <w:vAlign w:val="bottom"/>
            <w:tcBorders>
              <w:top w:val="single" w:sz="8" w:color="auto"/>
              <w:bottom w:val="single" w:sz="8" w:color="auto"/>
            </w:tcBorders>
            <w:shd w:val="clear" w:color="auto" w:fill="CCEEFF"/>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17,032,899</w:t>
            </w: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ind w:left="132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(49,886)</w:t>
            </w:r>
          </w:p>
        </w:tc>
        <w:tc>
          <w:tcPr>
            <w:tcW w:w="2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16,983,013</w:t>
            </w:r>
          </w:p>
        </w:tc>
      </w:tr>
      <w:tr>
        <w:trPr>
          <w:trHeight w:val="122"/>
        </w:trPr>
        <w:tc>
          <w:tcPr>
            <w:tcW w:w="3880" w:type="dxa"/>
            <w:vAlign w:val="bottom"/>
          </w:tcPr>
          <w:p>
            <w:pPr>
              <w:ind w:left="6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18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17,032,899</w:t>
            </w:r>
          </w:p>
        </w:tc>
        <w:tc>
          <w:tcPr>
            <w:tcW w:w="220" w:type="dxa"/>
            <w:vAlign w:val="bottom"/>
          </w:tcPr>
          <w:p>
            <w:pPr>
              <w:spacing w:after="0"/>
              <w:rPr>
                <w:sz w:val="10"/>
                <w:szCs w:val="10"/>
                <w:color w:val="auto"/>
              </w:rPr>
            </w:pPr>
          </w:p>
        </w:tc>
        <w:tc>
          <w:tcPr>
            <w:tcW w:w="160" w:type="dxa"/>
            <w:vAlign w:val="bottom"/>
            <w:tcBorders>
              <w:bottom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ind w:left="132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340" w:type="dxa"/>
            <w:vAlign w:val="bottom"/>
            <w:tcBorders>
              <w:bottom w:val="single" w:sz="8" w:color="auto"/>
            </w:tcBorders>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(49,886)</w:t>
            </w:r>
          </w:p>
        </w:tc>
        <w:tc>
          <w:tcPr>
            <w:tcW w:w="200" w:type="dxa"/>
            <w:vAlign w:val="bottom"/>
          </w:tcPr>
          <w:p>
            <w:pPr>
              <w:spacing w:after="0"/>
              <w:rPr>
                <w:sz w:val="10"/>
                <w:szCs w:val="10"/>
                <w:color w:val="auto"/>
              </w:rPr>
            </w:pPr>
          </w:p>
        </w:tc>
        <w:tc>
          <w:tcPr>
            <w:tcW w:w="300" w:type="dxa"/>
            <w:vAlign w:val="bottom"/>
            <w:tcBorders>
              <w:bottom w:val="single" w:sz="8" w:color="auto"/>
            </w:tcBorders>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16,983,013</w:t>
            </w:r>
          </w:p>
        </w:tc>
      </w:tr>
      <w:tr>
        <w:trPr>
          <w:trHeight w:val="288"/>
        </w:trPr>
        <w:tc>
          <w:tcPr>
            <w:tcW w:w="3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ind w:left="1340"/>
              <w:spacing w:after="0"/>
              <w:rPr>
                <w:sz w:val="20"/>
                <w:szCs w:val="20"/>
                <w:color w:val="auto"/>
              </w:rPr>
            </w:pPr>
            <w:r>
              <w:rPr>
                <w:rFonts w:ascii="Times New Roman" w:cs="Times New Roman" w:eastAsia="Times New Roman" w:hAnsi="Times New Roman"/>
                <w:sz w:val="12"/>
                <w:szCs w:val="12"/>
                <w:b w:val="1"/>
                <w:bCs w:val="1"/>
                <w:color w:val="auto"/>
                <w:w w:val="97"/>
              </w:rPr>
              <w:t>June 30, 2023</w:t>
            </w:r>
          </w:p>
        </w:tc>
        <w:tc>
          <w:tcPr>
            <w:tcW w:w="1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15"/>
        </w:trPr>
        <w:tc>
          <w:tcPr>
            <w:tcW w:w="3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tcPr>
          <w:p>
            <w:pPr>
              <w:jc w:val="right"/>
              <w:ind w:right="240"/>
              <w:spacing w:after="0" w:line="115" w:lineRule="exact"/>
              <w:rPr>
                <w:sz w:val="20"/>
                <w:szCs w:val="20"/>
                <w:color w:val="auto"/>
              </w:rPr>
            </w:pPr>
            <w:r>
              <w:rPr>
                <w:rFonts w:ascii="Times New Roman" w:cs="Times New Roman" w:eastAsia="Times New Roman" w:hAnsi="Times New Roman"/>
                <w:sz w:val="12"/>
                <w:szCs w:val="12"/>
                <w:b w:val="1"/>
                <w:bCs w:val="1"/>
                <w:color w:val="auto"/>
              </w:rPr>
              <w:t>Amortized cost basis</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tcPr>
          <w:p>
            <w:pPr>
              <w:ind w:left="80"/>
              <w:spacing w:after="0" w:line="115" w:lineRule="exact"/>
              <w:rPr>
                <w:sz w:val="20"/>
                <w:szCs w:val="20"/>
                <w:color w:val="auto"/>
              </w:rPr>
            </w:pPr>
            <w:r>
              <w:rPr>
                <w:rFonts w:ascii="Times New Roman" w:cs="Times New Roman" w:eastAsia="Times New Roman" w:hAnsi="Times New Roman"/>
                <w:sz w:val="12"/>
                <w:szCs w:val="12"/>
                <w:b w:val="1"/>
                <w:bCs w:val="1"/>
                <w:color w:val="auto"/>
              </w:rPr>
              <w:t>Gross unrealized gains</w:t>
            </w:r>
          </w:p>
        </w:tc>
        <w:tc>
          <w:tcPr>
            <w:tcW w:w="340" w:type="dxa"/>
            <w:vAlign w:val="bottom"/>
          </w:tcPr>
          <w:p>
            <w:pPr>
              <w:spacing w:after="0"/>
              <w:rPr>
                <w:sz w:val="10"/>
                <w:szCs w:val="10"/>
                <w:color w:val="auto"/>
              </w:rPr>
            </w:pPr>
          </w:p>
        </w:tc>
        <w:tc>
          <w:tcPr>
            <w:tcW w:w="1740" w:type="dxa"/>
            <w:vAlign w:val="bottom"/>
            <w:gridSpan w:val="2"/>
          </w:tcPr>
          <w:p>
            <w:pPr>
              <w:ind w:left="20"/>
              <w:spacing w:after="0" w:line="115" w:lineRule="exact"/>
              <w:rPr>
                <w:sz w:val="20"/>
                <w:szCs w:val="20"/>
                <w:color w:val="auto"/>
              </w:rPr>
            </w:pPr>
            <w:r>
              <w:rPr>
                <w:rFonts w:ascii="Times New Roman" w:cs="Times New Roman" w:eastAsia="Times New Roman" w:hAnsi="Times New Roman"/>
                <w:sz w:val="12"/>
                <w:szCs w:val="12"/>
                <w:b w:val="1"/>
                <w:bCs w:val="1"/>
                <w:color w:val="auto"/>
              </w:rPr>
              <w:t>Gross unrealized losses</w:t>
            </w:r>
          </w:p>
        </w:tc>
        <w:tc>
          <w:tcPr>
            <w:tcW w:w="300" w:type="dxa"/>
            <w:vAlign w:val="bottom"/>
          </w:tcPr>
          <w:p>
            <w:pPr>
              <w:spacing w:after="0"/>
              <w:rPr>
                <w:sz w:val="10"/>
                <w:szCs w:val="10"/>
                <w:color w:val="auto"/>
              </w:rPr>
            </w:pPr>
          </w:p>
        </w:tc>
        <w:tc>
          <w:tcPr>
            <w:tcW w:w="1320" w:type="dxa"/>
            <w:vAlign w:val="bottom"/>
          </w:tcPr>
          <w:p>
            <w:pPr>
              <w:jc w:val="right"/>
              <w:ind w:right="480"/>
              <w:spacing w:after="0" w:line="115" w:lineRule="exact"/>
              <w:rPr>
                <w:sz w:val="20"/>
                <w:szCs w:val="20"/>
                <w:color w:val="auto"/>
              </w:rPr>
            </w:pPr>
            <w:r>
              <w:rPr>
                <w:rFonts w:ascii="Times New Roman" w:cs="Times New Roman" w:eastAsia="Times New Roman" w:hAnsi="Times New Roman"/>
                <w:sz w:val="12"/>
                <w:szCs w:val="12"/>
                <w:b w:val="1"/>
                <w:bCs w:val="1"/>
                <w:color w:val="auto"/>
              </w:rPr>
              <w:t>Fair Value</w:t>
            </w:r>
          </w:p>
        </w:tc>
      </w:tr>
      <w:tr>
        <w:trPr>
          <w:trHeight w:val="115"/>
        </w:trPr>
        <w:tc>
          <w:tcPr>
            <w:tcW w:w="38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US Treasury securities</w:t>
            </w:r>
          </w:p>
        </w:tc>
        <w:tc>
          <w:tcPr>
            <w:tcW w:w="180" w:type="dxa"/>
            <w:vAlign w:val="bottom"/>
            <w:tcBorders>
              <w:top w:val="single" w:sz="8" w:color="auto"/>
              <w:bottom w:val="single" w:sz="8" w:color="auto"/>
            </w:tcBorders>
            <w:shd w:val="clear" w:color="auto" w:fill="CCEEFF"/>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17,064,274</w:t>
            </w:r>
          </w:p>
        </w:tc>
        <w:tc>
          <w:tcPr>
            <w:tcW w:w="2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ind w:left="132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bottom w:val="single" w:sz="8" w:color="auto"/>
            </w:tcBorders>
            <w:shd w:val="clear" w:color="auto" w:fill="CCEEFF"/>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(93,740)</w:t>
            </w:r>
          </w:p>
        </w:tc>
        <w:tc>
          <w:tcPr>
            <w:tcW w:w="2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16,970,534</w:t>
            </w:r>
          </w:p>
        </w:tc>
      </w:tr>
      <w:tr>
        <w:trPr>
          <w:trHeight w:val="122"/>
        </w:trPr>
        <w:tc>
          <w:tcPr>
            <w:tcW w:w="3880" w:type="dxa"/>
            <w:vAlign w:val="bottom"/>
          </w:tcPr>
          <w:p>
            <w:pPr>
              <w:ind w:left="6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180" w:type="dxa"/>
            <w:vAlign w:val="bottom"/>
            <w:tcBorders>
              <w:bottom w:val="single" w:sz="8" w:color="auto"/>
            </w:tcBorders>
          </w:tcPr>
          <w:p>
            <w:pPr>
              <w:jc w:val="right"/>
              <w:ind w:right="6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17,064,274</w:t>
            </w:r>
          </w:p>
        </w:tc>
        <w:tc>
          <w:tcPr>
            <w:tcW w:w="220" w:type="dxa"/>
            <w:vAlign w:val="bottom"/>
          </w:tcPr>
          <w:p>
            <w:pPr>
              <w:spacing w:after="0"/>
              <w:rPr>
                <w:sz w:val="10"/>
                <w:szCs w:val="10"/>
                <w:color w:val="auto"/>
              </w:rPr>
            </w:pPr>
          </w:p>
        </w:tc>
        <w:tc>
          <w:tcPr>
            <w:tcW w:w="160" w:type="dxa"/>
            <w:vAlign w:val="bottom"/>
            <w:tcBorders>
              <w:bottom w:val="single" w:sz="8" w:color="auto"/>
            </w:tcBorders>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ind w:left="132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0"/>
                <w:szCs w:val="10"/>
                <w:color w:val="auto"/>
              </w:rPr>
            </w:pPr>
          </w:p>
        </w:tc>
        <w:tc>
          <w:tcPr>
            <w:tcW w:w="340" w:type="dxa"/>
            <w:vAlign w:val="bottom"/>
            <w:tcBorders>
              <w:bottom w:val="single" w:sz="8" w:color="auto"/>
            </w:tcBorders>
          </w:tcPr>
          <w:p>
            <w:pPr>
              <w:jc w:val="right"/>
              <w:ind w:right="2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(93,740)</w:t>
            </w:r>
          </w:p>
        </w:tc>
        <w:tc>
          <w:tcPr>
            <w:tcW w:w="200" w:type="dxa"/>
            <w:vAlign w:val="bottom"/>
          </w:tcPr>
          <w:p>
            <w:pPr>
              <w:spacing w:after="0"/>
              <w:rPr>
                <w:sz w:val="10"/>
                <w:szCs w:val="10"/>
                <w:color w:val="auto"/>
              </w:rPr>
            </w:pPr>
          </w:p>
        </w:tc>
        <w:tc>
          <w:tcPr>
            <w:tcW w:w="300" w:type="dxa"/>
            <w:vAlign w:val="bottom"/>
            <w:tcBorders>
              <w:bottom w:val="single" w:sz="8" w:color="auto"/>
            </w:tcBorders>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16,970,534</w:t>
            </w:r>
          </w:p>
        </w:tc>
      </w:tr>
      <w:tr>
        <w:trPr>
          <w:trHeight w:val="522"/>
        </w:trPr>
        <w:tc>
          <w:tcPr>
            <w:tcW w:w="3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42"/>
        </w:trPr>
        <w:tc>
          <w:tcPr>
            <w:tcW w:w="38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11" w:name="page12"/>
    <w:bookmarkEnd w:id="11"/>
    <w:tbl>
      <w:tblPr>
        <w:tblLayout w:type="fixed"/>
        <w:tblInd w:w="8" w:type="dxa"/>
        <w:tblCellMar>
          <w:top w:w="0" w:type="dxa"/>
          <w:left w:w="0" w:type="dxa"/>
          <w:bottom w:w="0" w:type="dxa"/>
          <w:right w:w="0" w:type="dxa"/>
        </w:tblCellMar>
      </w:tblPr>
      <w:tr>
        <w:trPr>
          <w:trHeight w:val="138"/>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1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764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4"/>
        </w:trPr>
        <w:tc>
          <w:tcPr>
            <w:tcW w:w="8480" w:type="dxa"/>
            <w:vAlign w:val="bottom"/>
            <w:gridSpan w:val="5"/>
          </w:tcPr>
          <w:p>
            <w:pPr>
              <w:spacing w:after="0"/>
              <w:rPr>
                <w:sz w:val="20"/>
                <w:szCs w:val="20"/>
                <w:color w:val="auto"/>
              </w:rPr>
            </w:pPr>
            <w:r>
              <w:rPr>
                <w:rFonts w:ascii="Times New Roman" w:cs="Times New Roman" w:eastAsia="Times New Roman" w:hAnsi="Times New Roman"/>
                <w:sz w:val="12"/>
                <w:szCs w:val="12"/>
                <w:color w:val="auto"/>
              </w:rPr>
              <w:t>The following tables summarize the fair value and amortized cost basis of the held-to-maturity debt securities by contractual maturity as of March 31, 2024 and June 30, 2023:</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6"/>
        </w:trPr>
        <w:tc>
          <w:tcPr>
            <w:tcW w:w="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40" w:type="dxa"/>
            <w:vAlign w:val="bottom"/>
            <w:tcBorders>
              <w:bottom w:val="single" w:sz="8" w:color="CCEEFF"/>
            </w:tcBorders>
          </w:tcPr>
          <w:p>
            <w:pPr>
              <w:spacing w:after="0"/>
              <w:rPr>
                <w:sz w:val="10"/>
                <w:szCs w:val="10"/>
                <w:color w:val="auto"/>
              </w:rPr>
            </w:pPr>
          </w:p>
        </w:tc>
        <w:tc>
          <w:tcPr>
            <w:tcW w:w="5100" w:type="dxa"/>
            <w:vAlign w:val="bottom"/>
            <w:tcBorders>
              <w:bottom w:val="single" w:sz="8" w:color="CCEEFF"/>
            </w:tcBorders>
          </w:tcPr>
          <w:p>
            <w:pPr>
              <w:spacing w:after="0"/>
              <w:rPr>
                <w:sz w:val="10"/>
                <w:szCs w:val="10"/>
                <w:color w:val="auto"/>
              </w:rPr>
            </w:pPr>
          </w:p>
        </w:tc>
        <w:tc>
          <w:tcPr>
            <w:tcW w:w="1880" w:type="dxa"/>
            <w:vAlign w:val="bottom"/>
            <w:tcBorders>
              <w:bottom w:val="single" w:sz="8" w:color="auto"/>
            </w:tcBorders>
            <w:gridSpan w:val="2"/>
          </w:tcPr>
          <w:p>
            <w:pPr>
              <w:jc w:val="right"/>
              <w:ind w:right="6"/>
              <w:spacing w:after="0" w:line="115" w:lineRule="exact"/>
              <w:rPr>
                <w:sz w:val="20"/>
                <w:szCs w:val="20"/>
                <w:color w:val="auto"/>
              </w:rPr>
            </w:pPr>
            <w:r>
              <w:rPr>
                <w:rFonts w:ascii="Times New Roman" w:cs="Times New Roman" w:eastAsia="Times New Roman" w:hAnsi="Times New Roman"/>
                <w:sz w:val="12"/>
                <w:szCs w:val="12"/>
                <w:b w:val="1"/>
                <w:bCs w:val="1"/>
                <w:color w:val="auto"/>
              </w:rPr>
              <w:t>Amortized Cost Basis</w:t>
            </w: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right"/>
              <w:ind w:right="920"/>
              <w:spacing w:after="0" w:line="115"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20" w:type="dxa"/>
            <w:vAlign w:val="bottom"/>
          </w:tcPr>
          <w:p>
            <w:pPr>
              <w:spacing w:after="0"/>
              <w:rPr>
                <w:sz w:val="10"/>
                <w:szCs w:val="10"/>
                <w:color w:val="auto"/>
              </w:rPr>
            </w:pPr>
          </w:p>
        </w:tc>
      </w:tr>
      <w:tr>
        <w:trPr>
          <w:trHeight w:val="115"/>
        </w:trPr>
        <w:tc>
          <w:tcPr>
            <w:tcW w:w="594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Due within one year</w:t>
            </w:r>
          </w:p>
        </w:tc>
        <w:tc>
          <w:tcPr>
            <w:tcW w:w="1640" w:type="dxa"/>
            <w:vAlign w:val="bottom"/>
            <w:shd w:val="clear" w:color="auto" w:fill="CCEEFF"/>
          </w:tcPr>
          <w:p>
            <w:pPr>
              <w:jc w:val="right"/>
              <w:ind w:right="152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7,020,288</w:t>
            </w:r>
          </w:p>
        </w:tc>
        <w:tc>
          <w:tcPr>
            <w:tcW w:w="320" w:type="dxa"/>
            <w:vAlign w:val="bottom"/>
            <w:shd w:val="clear" w:color="auto" w:fill="CCEEFF"/>
          </w:tcPr>
          <w:p>
            <w:pPr>
              <w:spacing w:after="0"/>
              <w:rPr>
                <w:sz w:val="10"/>
                <w:szCs w:val="10"/>
                <w:color w:val="auto"/>
              </w:rPr>
            </w:pPr>
          </w:p>
        </w:tc>
        <w:tc>
          <w:tcPr>
            <w:tcW w:w="540" w:type="dxa"/>
            <w:vAlign w:val="bottom"/>
            <w:shd w:val="clear" w:color="auto" w:fill="CCEEFF"/>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7,007,734</w:t>
            </w:r>
          </w:p>
        </w:tc>
        <w:tc>
          <w:tcPr>
            <w:tcW w:w="20" w:type="dxa"/>
            <w:vAlign w:val="bottom"/>
          </w:tcPr>
          <w:p>
            <w:pPr>
              <w:spacing w:after="0"/>
              <w:rPr>
                <w:sz w:val="10"/>
                <w:szCs w:val="10"/>
                <w:color w:val="auto"/>
              </w:rPr>
            </w:pPr>
          </w:p>
        </w:tc>
      </w:tr>
      <w:tr>
        <w:trPr>
          <w:trHeight w:val="126"/>
        </w:trPr>
        <w:tc>
          <w:tcPr>
            <w:tcW w:w="5940" w:type="dxa"/>
            <w:vAlign w:val="bottom"/>
            <w:tcBorders>
              <w:bottom w:val="single" w:sz="8" w:color="CCEEFF"/>
            </w:tcBorders>
            <w:gridSpan w:val="2"/>
          </w:tcPr>
          <w:p>
            <w:pPr>
              <w:spacing w:after="0" w:line="126" w:lineRule="exact"/>
              <w:rPr>
                <w:sz w:val="20"/>
                <w:szCs w:val="20"/>
                <w:color w:val="auto"/>
              </w:rPr>
            </w:pPr>
            <w:r>
              <w:rPr>
                <w:rFonts w:ascii="Times New Roman" w:cs="Times New Roman" w:eastAsia="Times New Roman" w:hAnsi="Times New Roman"/>
                <w:sz w:val="12"/>
                <w:szCs w:val="12"/>
                <w:color w:val="auto"/>
              </w:rPr>
              <w:t>Due after one year through five years</w:t>
            </w:r>
          </w:p>
        </w:tc>
        <w:tc>
          <w:tcPr>
            <w:tcW w:w="16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10,012,611</w:t>
            </w:r>
          </w:p>
        </w:tc>
        <w:tc>
          <w:tcPr>
            <w:tcW w:w="3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9,975,279</w:t>
            </w:r>
          </w:p>
        </w:tc>
        <w:tc>
          <w:tcPr>
            <w:tcW w:w="20" w:type="dxa"/>
            <w:vAlign w:val="bottom"/>
          </w:tcPr>
          <w:p>
            <w:pPr>
              <w:spacing w:after="0"/>
              <w:rPr>
                <w:sz w:val="10"/>
                <w:szCs w:val="10"/>
                <w:color w:val="auto"/>
              </w:rPr>
            </w:pPr>
          </w:p>
        </w:tc>
      </w:tr>
      <w:tr>
        <w:trPr>
          <w:trHeight w:val="122"/>
        </w:trPr>
        <w:tc>
          <w:tcPr>
            <w:tcW w:w="5940" w:type="dxa"/>
            <w:vAlign w:val="bottom"/>
            <w:tcBorders>
              <w:bottom w:val="single" w:sz="8" w:color="CCEEFF"/>
            </w:tcBorders>
            <w:gridSpan w:val="2"/>
            <w:shd w:val="clear" w:color="auto" w:fill="CCEEFF"/>
          </w:tcPr>
          <w:p>
            <w:pPr>
              <w:ind w:left="6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1640" w:type="dxa"/>
            <w:vAlign w:val="bottom"/>
            <w:tcBorders>
              <w:bottom w:val="single" w:sz="8" w:color="auto"/>
            </w:tcBorders>
            <w:shd w:val="clear" w:color="auto" w:fill="CCEEFF"/>
          </w:tcPr>
          <w:p>
            <w:pPr>
              <w:jc w:val="right"/>
              <w:ind w:right="152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17,032,899</w:t>
            </w:r>
          </w:p>
        </w:tc>
        <w:tc>
          <w:tcPr>
            <w:tcW w:w="320" w:type="dxa"/>
            <w:vAlign w:val="bottom"/>
            <w:tcBorders>
              <w:bottom w:val="single" w:sz="8" w:color="CCEEFF"/>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6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16,983,013</w:t>
            </w:r>
          </w:p>
        </w:tc>
        <w:tc>
          <w:tcPr>
            <w:tcW w:w="20" w:type="dxa"/>
            <w:vAlign w:val="bottom"/>
          </w:tcPr>
          <w:p>
            <w:pPr>
              <w:spacing w:after="0"/>
              <w:rPr>
                <w:sz w:val="10"/>
                <w:szCs w:val="10"/>
                <w:color w:val="auto"/>
              </w:rPr>
            </w:pPr>
          </w:p>
        </w:tc>
      </w:tr>
      <w:tr>
        <w:trPr>
          <w:trHeight w:val="297"/>
        </w:trPr>
        <w:tc>
          <w:tcPr>
            <w:tcW w:w="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June 30, 2023</w:t>
            </w:r>
          </w:p>
        </w:tc>
        <w:tc>
          <w:tcPr>
            <w:tcW w:w="1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40" w:type="dxa"/>
            <w:vAlign w:val="bottom"/>
            <w:tcBorders>
              <w:bottom w:val="single" w:sz="8" w:color="CCEEFF"/>
            </w:tcBorders>
          </w:tcPr>
          <w:p>
            <w:pPr>
              <w:spacing w:after="0"/>
              <w:rPr>
                <w:sz w:val="10"/>
                <w:szCs w:val="10"/>
                <w:color w:val="auto"/>
              </w:rPr>
            </w:pPr>
          </w:p>
        </w:tc>
        <w:tc>
          <w:tcPr>
            <w:tcW w:w="5100" w:type="dxa"/>
            <w:vAlign w:val="bottom"/>
            <w:tcBorders>
              <w:bottom w:val="single" w:sz="8" w:color="CCEEFF"/>
            </w:tcBorders>
          </w:tcPr>
          <w:p>
            <w:pPr>
              <w:spacing w:after="0"/>
              <w:rPr>
                <w:sz w:val="10"/>
                <w:szCs w:val="10"/>
                <w:color w:val="auto"/>
              </w:rPr>
            </w:pPr>
          </w:p>
        </w:tc>
        <w:tc>
          <w:tcPr>
            <w:tcW w:w="1880" w:type="dxa"/>
            <w:vAlign w:val="bottom"/>
            <w:tcBorders>
              <w:bottom w:val="single" w:sz="8" w:color="auto"/>
            </w:tcBorders>
            <w:gridSpan w:val="2"/>
          </w:tcPr>
          <w:p>
            <w:pPr>
              <w:jc w:val="right"/>
              <w:ind w:right="6"/>
              <w:spacing w:after="0" w:line="115" w:lineRule="exact"/>
              <w:rPr>
                <w:sz w:val="20"/>
                <w:szCs w:val="20"/>
                <w:color w:val="auto"/>
              </w:rPr>
            </w:pPr>
            <w:r>
              <w:rPr>
                <w:rFonts w:ascii="Times New Roman" w:cs="Times New Roman" w:eastAsia="Times New Roman" w:hAnsi="Times New Roman"/>
                <w:sz w:val="12"/>
                <w:szCs w:val="12"/>
                <w:b w:val="1"/>
                <w:bCs w:val="1"/>
                <w:color w:val="auto"/>
              </w:rPr>
              <w:t>Amortized Cost Basis</w:t>
            </w:r>
          </w:p>
        </w:tc>
        <w:tc>
          <w:tcPr>
            <w:tcW w:w="660" w:type="dxa"/>
            <w:vAlign w:val="bottom"/>
            <w:tcBorders>
              <w:bottom w:val="single" w:sz="8" w:color="auto"/>
            </w:tcBorders>
          </w:tcPr>
          <w:p>
            <w:pPr>
              <w:spacing w:after="0"/>
              <w:rPr>
                <w:sz w:val="10"/>
                <w:szCs w:val="10"/>
                <w:color w:val="auto"/>
              </w:rPr>
            </w:pPr>
          </w:p>
        </w:tc>
        <w:tc>
          <w:tcPr>
            <w:tcW w:w="32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right"/>
              <w:ind w:right="920"/>
              <w:spacing w:after="0" w:line="115" w:lineRule="exact"/>
              <w:rPr>
                <w:sz w:val="20"/>
                <w:szCs w:val="20"/>
                <w:color w:val="auto"/>
              </w:rPr>
            </w:pPr>
            <w:r>
              <w:rPr>
                <w:rFonts w:ascii="Times New Roman" w:cs="Times New Roman" w:eastAsia="Times New Roman" w:hAnsi="Times New Roman"/>
                <w:sz w:val="12"/>
                <w:szCs w:val="12"/>
                <w:b w:val="1"/>
                <w:bCs w:val="1"/>
                <w:color w:val="auto"/>
              </w:rPr>
              <w:t>Fair value</w:t>
            </w:r>
          </w:p>
        </w:tc>
        <w:tc>
          <w:tcPr>
            <w:tcW w:w="20" w:type="dxa"/>
            <w:vAlign w:val="bottom"/>
          </w:tcPr>
          <w:p>
            <w:pPr>
              <w:spacing w:after="0"/>
              <w:rPr>
                <w:sz w:val="10"/>
                <w:szCs w:val="10"/>
                <w:color w:val="auto"/>
              </w:rPr>
            </w:pPr>
          </w:p>
        </w:tc>
      </w:tr>
      <w:tr>
        <w:trPr>
          <w:trHeight w:val="115"/>
        </w:trPr>
        <w:tc>
          <w:tcPr>
            <w:tcW w:w="594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Due within one year</w:t>
            </w:r>
          </w:p>
        </w:tc>
        <w:tc>
          <w:tcPr>
            <w:tcW w:w="1640" w:type="dxa"/>
            <w:vAlign w:val="bottom"/>
            <w:tcBorders>
              <w:bottom w:val="single" w:sz="8" w:color="auto"/>
            </w:tcBorders>
            <w:shd w:val="clear" w:color="auto" w:fill="CCEEFF"/>
          </w:tcPr>
          <w:p>
            <w:pPr>
              <w:jc w:val="right"/>
              <w:ind w:right="152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17,064,274</w:t>
            </w:r>
          </w:p>
        </w:tc>
        <w:tc>
          <w:tcPr>
            <w:tcW w:w="320" w:type="dxa"/>
            <w:vAlign w:val="bottom"/>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shd w:val="clear" w:color="auto" w:fill="CCEEFF"/>
          </w:tcPr>
          <w:p>
            <w:pPr>
              <w:spacing w:after="0"/>
              <w:rPr>
                <w:sz w:val="10"/>
                <w:szCs w:val="10"/>
                <w:color w:val="auto"/>
              </w:rPr>
            </w:pPr>
          </w:p>
        </w:tc>
        <w:tc>
          <w:tcPr>
            <w:tcW w:w="160" w:type="dxa"/>
            <w:vAlign w:val="bottom"/>
            <w:tcBorders>
              <w:bottom w:val="single" w:sz="8" w:color="auto"/>
            </w:tcBorders>
            <w:shd w:val="clear" w:color="auto" w:fill="CCEEFF"/>
          </w:tcPr>
          <w:p>
            <w:pPr>
              <w:spacing w:after="0"/>
              <w:rPr>
                <w:sz w:val="10"/>
                <w:szCs w:val="10"/>
                <w:color w:val="auto"/>
              </w:rPr>
            </w:pPr>
          </w:p>
        </w:tc>
        <w:tc>
          <w:tcPr>
            <w:tcW w:w="16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16,970,534</w:t>
            </w:r>
          </w:p>
        </w:tc>
        <w:tc>
          <w:tcPr>
            <w:tcW w:w="20" w:type="dxa"/>
            <w:vAlign w:val="bottom"/>
          </w:tcPr>
          <w:p>
            <w:pPr>
              <w:spacing w:after="0"/>
              <w:rPr>
                <w:sz w:val="10"/>
                <w:szCs w:val="10"/>
                <w:color w:val="auto"/>
              </w:rPr>
            </w:pPr>
          </w:p>
        </w:tc>
      </w:tr>
      <w:tr>
        <w:trPr>
          <w:trHeight w:val="122"/>
        </w:trPr>
        <w:tc>
          <w:tcPr>
            <w:tcW w:w="594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2"/>
                <w:szCs w:val="12"/>
                <w:color w:val="auto"/>
              </w:rPr>
              <w:t>Total</w:t>
            </w:r>
          </w:p>
        </w:tc>
        <w:tc>
          <w:tcPr>
            <w:tcW w:w="1640" w:type="dxa"/>
            <w:vAlign w:val="bottom"/>
            <w:tcBorders>
              <w:bottom w:val="single" w:sz="8" w:color="auto"/>
            </w:tcBorders>
          </w:tcPr>
          <w:p>
            <w:pPr>
              <w:jc w:val="right"/>
              <w:ind w:right="1524"/>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17,064,274</w:t>
            </w:r>
          </w:p>
        </w:tc>
        <w:tc>
          <w:tcPr>
            <w:tcW w:w="320" w:type="dxa"/>
            <w:vAlign w:val="bottom"/>
          </w:tcPr>
          <w:p>
            <w:pPr>
              <w:spacing w:after="0"/>
              <w:rPr>
                <w:sz w:val="10"/>
                <w:szCs w:val="10"/>
                <w:color w:val="auto"/>
              </w:rPr>
            </w:pPr>
          </w:p>
        </w:tc>
        <w:tc>
          <w:tcPr>
            <w:tcW w:w="540" w:type="dxa"/>
            <w:vAlign w:val="bottom"/>
            <w:tcBorders>
              <w:bottom w:val="single" w:sz="8" w:color="auto"/>
            </w:tcBorders>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16,970,534</w:t>
            </w:r>
          </w:p>
        </w:tc>
        <w:tc>
          <w:tcPr>
            <w:tcW w:w="20" w:type="dxa"/>
            <w:vAlign w:val="bottom"/>
          </w:tcPr>
          <w:p>
            <w:pPr>
              <w:spacing w:after="0"/>
              <w:rPr>
                <w:sz w:val="10"/>
                <w:szCs w:val="10"/>
                <w:color w:val="auto"/>
              </w:rPr>
            </w:pPr>
          </w:p>
        </w:tc>
      </w:tr>
      <w:tr>
        <w:trPr>
          <w:trHeight w:val="315"/>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  INVENTORIES</w:t>
            </w: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61"/>
        </w:trPr>
        <w:tc>
          <w:tcPr>
            <w:tcW w:w="5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components of inventories were as follows:</w:t>
            </w:r>
          </w:p>
        </w:tc>
        <w:tc>
          <w:tcPr>
            <w:tcW w:w="1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97"/>
        </w:trPr>
        <w:tc>
          <w:tcPr>
            <w:tcW w:w="84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gridSpan w:val="4"/>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March 31, 2024</w:t>
            </w:r>
          </w:p>
        </w:tc>
        <w:tc>
          <w:tcPr>
            <w:tcW w:w="160" w:type="dxa"/>
            <w:vAlign w:val="bottom"/>
          </w:tcPr>
          <w:p>
            <w:pPr>
              <w:spacing w:after="0"/>
              <w:rPr>
                <w:sz w:val="24"/>
                <w:szCs w:val="24"/>
                <w:color w:val="auto"/>
              </w:rPr>
            </w:pPr>
          </w:p>
        </w:tc>
        <w:tc>
          <w:tcPr>
            <w:tcW w:w="1640" w:type="dxa"/>
            <w:vAlign w:val="bottom"/>
            <w:gridSpan w:val="2"/>
          </w:tcPr>
          <w:p>
            <w:pPr>
              <w:ind w:left="380"/>
              <w:spacing w:after="0"/>
              <w:rPr>
                <w:sz w:val="20"/>
                <w:szCs w:val="20"/>
                <w:color w:val="auto"/>
              </w:rPr>
            </w:pPr>
            <w:r>
              <w:rPr>
                <w:rFonts w:ascii="Times New Roman" w:cs="Times New Roman" w:eastAsia="Times New Roman" w:hAnsi="Times New Roman"/>
                <w:sz w:val="12"/>
                <w:szCs w:val="12"/>
                <w:b w:val="1"/>
                <w:bCs w:val="1"/>
                <w:color w:val="auto"/>
              </w:rPr>
              <w:t>June 30, 2023</w:t>
            </w:r>
          </w:p>
        </w:tc>
      </w:tr>
      <w:tr>
        <w:trPr>
          <w:trHeight w:val="115"/>
        </w:trPr>
        <w:tc>
          <w:tcPr>
            <w:tcW w:w="5940" w:type="dxa"/>
            <w:vAlign w:val="bottom"/>
            <w:tcBorders>
              <w:top w:val="single" w:sz="8" w:color="CCEEFF"/>
            </w:tcBorders>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Raw materials</w:t>
            </w:r>
          </w:p>
        </w:tc>
        <w:tc>
          <w:tcPr>
            <w:tcW w:w="164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tcBorders>
            <w:shd w:val="clear" w:color="auto" w:fill="CCEEFF"/>
          </w:tcPr>
          <w:p>
            <w:pPr>
              <w:spacing w:after="0"/>
              <w:rPr>
                <w:sz w:val="10"/>
                <w:szCs w:val="10"/>
                <w:color w:val="auto"/>
              </w:rPr>
            </w:pPr>
          </w:p>
        </w:tc>
        <w:tc>
          <w:tcPr>
            <w:tcW w:w="860" w:type="dxa"/>
            <w:vAlign w:val="bottom"/>
            <w:tcBorders>
              <w:top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2,011,332</w:t>
            </w:r>
          </w:p>
        </w:tc>
        <w:tc>
          <w:tcPr>
            <w:tcW w:w="1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2,071,360</w:t>
            </w:r>
          </w:p>
        </w:tc>
        <w:tc>
          <w:tcPr>
            <w:tcW w:w="20" w:type="dxa"/>
            <w:vAlign w:val="bottom"/>
          </w:tcPr>
          <w:p>
            <w:pPr>
              <w:spacing w:after="0"/>
              <w:rPr>
                <w:sz w:val="10"/>
                <w:szCs w:val="10"/>
                <w:color w:val="auto"/>
              </w:rPr>
            </w:pPr>
          </w:p>
        </w:tc>
      </w:tr>
      <w:tr>
        <w:trPr>
          <w:trHeight w:val="126"/>
        </w:trPr>
        <w:tc>
          <w:tcPr>
            <w:tcW w:w="5940" w:type="dxa"/>
            <w:vAlign w:val="bottom"/>
            <w:tcBorders>
              <w:bottom w:val="single" w:sz="8" w:color="CCEEFF"/>
            </w:tcBorders>
            <w:gridSpan w:val="2"/>
          </w:tcPr>
          <w:p>
            <w:pPr>
              <w:spacing w:after="0" w:line="126" w:lineRule="exact"/>
              <w:rPr>
                <w:sz w:val="20"/>
                <w:szCs w:val="20"/>
                <w:color w:val="auto"/>
              </w:rPr>
            </w:pPr>
            <w:r>
              <w:rPr>
                <w:rFonts w:ascii="Times New Roman" w:cs="Times New Roman" w:eastAsia="Times New Roman" w:hAnsi="Times New Roman"/>
                <w:sz w:val="12"/>
                <w:szCs w:val="12"/>
                <w:color w:val="auto"/>
              </w:rPr>
              <w:t>Finished goods</w:t>
            </w:r>
          </w:p>
        </w:tc>
        <w:tc>
          <w:tcPr>
            <w:tcW w:w="164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4,519,572</w:t>
            </w:r>
          </w:p>
        </w:tc>
        <w:tc>
          <w:tcPr>
            <w:tcW w:w="180" w:type="dxa"/>
            <w:vAlign w:val="bottom"/>
            <w:tcBorders>
              <w:bottom w:val="single" w:sz="8" w:color="CCEEFF"/>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6,178,186</w:t>
            </w:r>
          </w:p>
        </w:tc>
        <w:tc>
          <w:tcPr>
            <w:tcW w:w="20" w:type="dxa"/>
            <w:vAlign w:val="bottom"/>
          </w:tcPr>
          <w:p>
            <w:pPr>
              <w:spacing w:after="0"/>
              <w:rPr>
                <w:sz w:val="10"/>
                <w:szCs w:val="10"/>
                <w:color w:val="auto"/>
              </w:rPr>
            </w:pPr>
          </w:p>
        </w:tc>
      </w:tr>
      <w:tr>
        <w:trPr>
          <w:trHeight w:val="115"/>
        </w:trPr>
        <w:tc>
          <w:tcPr>
            <w:tcW w:w="5940" w:type="dxa"/>
            <w:vAlign w:val="bottom"/>
            <w:gridSpan w:val="2"/>
            <w:shd w:val="clear" w:color="auto" w:fill="CCEEFF"/>
          </w:tcPr>
          <w:p>
            <w:pPr>
              <w:ind w:left="60"/>
              <w:spacing w:after="0" w:line="115" w:lineRule="exact"/>
              <w:rPr>
                <w:sz w:val="20"/>
                <w:szCs w:val="20"/>
                <w:color w:val="auto"/>
              </w:rPr>
            </w:pPr>
            <w:r>
              <w:rPr>
                <w:rFonts w:ascii="Times New Roman" w:cs="Times New Roman" w:eastAsia="Times New Roman" w:hAnsi="Times New Roman"/>
                <w:sz w:val="12"/>
                <w:szCs w:val="12"/>
                <w:color w:val="auto"/>
              </w:rPr>
              <w:t>Inventories, gross</w:t>
            </w:r>
          </w:p>
        </w:tc>
        <w:tc>
          <w:tcPr>
            <w:tcW w:w="16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6,530,904</w:t>
            </w: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8,249,546</w:t>
            </w:r>
          </w:p>
        </w:tc>
        <w:tc>
          <w:tcPr>
            <w:tcW w:w="20" w:type="dxa"/>
            <w:vAlign w:val="bottom"/>
          </w:tcPr>
          <w:p>
            <w:pPr>
              <w:spacing w:after="0"/>
              <w:rPr>
                <w:sz w:val="10"/>
                <w:szCs w:val="10"/>
                <w:color w:val="auto"/>
              </w:rPr>
            </w:pPr>
          </w:p>
        </w:tc>
      </w:tr>
      <w:tr>
        <w:trPr>
          <w:trHeight w:val="126"/>
        </w:trPr>
        <w:tc>
          <w:tcPr>
            <w:tcW w:w="594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Reserve for obsolete inventory</w:t>
            </w:r>
          </w:p>
        </w:tc>
        <w:tc>
          <w:tcPr>
            <w:tcW w:w="1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40" w:type="dxa"/>
            <w:vAlign w:val="bottom"/>
            <w:gridSpan w:val="3"/>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(1,869,899)</w:t>
            </w:r>
          </w:p>
        </w:tc>
        <w:tc>
          <w:tcPr>
            <w:tcW w:w="160" w:type="dxa"/>
            <w:vAlign w:val="bottom"/>
          </w:tcPr>
          <w:p>
            <w:pPr>
              <w:spacing w:after="0"/>
              <w:rPr>
                <w:sz w:val="10"/>
                <w:szCs w:val="10"/>
                <w:color w:val="auto"/>
              </w:rPr>
            </w:pPr>
          </w:p>
        </w:tc>
        <w:tc>
          <w:tcPr>
            <w:tcW w:w="16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(1,826,105)</w:t>
            </w:r>
          </w:p>
        </w:tc>
        <w:tc>
          <w:tcPr>
            <w:tcW w:w="20" w:type="dxa"/>
            <w:vAlign w:val="bottom"/>
          </w:tcPr>
          <w:p>
            <w:pPr>
              <w:spacing w:after="0"/>
              <w:rPr>
                <w:sz w:val="10"/>
                <w:szCs w:val="10"/>
                <w:color w:val="auto"/>
              </w:rPr>
            </w:pPr>
          </w:p>
        </w:tc>
      </w:tr>
      <w:tr>
        <w:trPr>
          <w:trHeight w:val="122"/>
        </w:trPr>
        <w:tc>
          <w:tcPr>
            <w:tcW w:w="5940" w:type="dxa"/>
            <w:vAlign w:val="bottom"/>
            <w:tcBorders>
              <w:top w:val="single" w:sz="8" w:color="CCEEFF"/>
              <w:bottom w:val="single" w:sz="8" w:color="CCEEFF"/>
            </w:tcBorders>
            <w:gridSpan w:val="2"/>
            <w:shd w:val="clear" w:color="auto" w:fill="CCEEFF"/>
          </w:tcPr>
          <w:p>
            <w:pPr>
              <w:ind w:left="60"/>
              <w:spacing w:after="0" w:line="115" w:lineRule="exact"/>
              <w:rPr>
                <w:sz w:val="20"/>
                <w:szCs w:val="20"/>
                <w:color w:val="auto"/>
              </w:rPr>
            </w:pPr>
            <w:r>
              <w:rPr>
                <w:rFonts w:ascii="Times New Roman" w:cs="Times New Roman" w:eastAsia="Times New Roman" w:hAnsi="Times New Roman"/>
                <w:sz w:val="12"/>
                <w:szCs w:val="12"/>
                <w:color w:val="auto"/>
              </w:rPr>
              <w:t>Inventories, net</w:t>
            </w:r>
          </w:p>
        </w:tc>
        <w:tc>
          <w:tcPr>
            <w:tcW w:w="1640" w:type="dxa"/>
            <w:vAlign w:val="bottom"/>
            <w:tcBorders>
              <w:top w:val="single" w:sz="8" w:color="CCEEFF"/>
              <w:bottom w:val="single" w:sz="8" w:color="CCEEFF"/>
            </w:tcBorders>
            <w:shd w:val="clear" w:color="auto" w:fill="CCEEFF"/>
          </w:tcPr>
          <w:p>
            <w:pPr>
              <w:spacing w:after="0"/>
              <w:rPr>
                <w:sz w:val="10"/>
                <w:szCs w:val="10"/>
                <w:color w:val="auto"/>
              </w:rPr>
            </w:pPr>
          </w:p>
        </w:tc>
        <w:tc>
          <w:tcPr>
            <w:tcW w:w="240" w:type="dxa"/>
            <w:vAlign w:val="bottom"/>
            <w:tcBorders>
              <w:top w:val="single" w:sz="8" w:color="auto"/>
              <w:bottom w:val="single" w:sz="8" w:color="auto"/>
            </w:tcBorders>
            <w:shd w:val="clear" w:color="auto" w:fill="CCEEFF"/>
          </w:tcPr>
          <w:p>
            <w:pPr>
              <w:jc w:val="right"/>
              <w:ind w:right="1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CEEFF"/>
          </w:tcPr>
          <w:p>
            <w:pPr>
              <w:spacing w:after="0"/>
              <w:rPr>
                <w:sz w:val="10"/>
                <w:szCs w:val="10"/>
                <w:color w:val="auto"/>
              </w:rPr>
            </w:pPr>
          </w:p>
        </w:tc>
        <w:tc>
          <w:tcPr>
            <w:tcW w:w="860" w:type="dxa"/>
            <w:vAlign w:val="bottom"/>
            <w:tcBorders>
              <w:top w:val="single" w:sz="8" w:color="auto"/>
              <w:bottom w:val="single" w:sz="8" w:color="auto"/>
            </w:tcBorders>
            <w:gridSpan w:val="2"/>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4,661,005</w:t>
            </w:r>
          </w:p>
        </w:tc>
        <w:tc>
          <w:tcPr>
            <w:tcW w:w="180" w:type="dxa"/>
            <w:vAlign w:val="bottom"/>
            <w:tcBorders>
              <w:top w:val="single" w:sz="8" w:color="CCEEFF"/>
              <w:bottom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jc w:val="right"/>
              <w:ind w:right="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6,423,441</w:t>
            </w:r>
          </w:p>
        </w:tc>
        <w:tc>
          <w:tcPr>
            <w:tcW w:w="20" w:type="dxa"/>
            <w:vAlign w:val="bottom"/>
          </w:tcPr>
          <w:p>
            <w:pPr>
              <w:spacing w:after="0"/>
              <w:rPr>
                <w:sz w:val="10"/>
                <w:szCs w:val="10"/>
                <w:color w:val="auto"/>
              </w:rPr>
            </w:pPr>
          </w:p>
        </w:tc>
      </w:tr>
    </w:tbl>
    <w:p>
      <w:pPr>
        <w:spacing w:after="0" w:line="340" w:lineRule="exact"/>
        <w:rPr>
          <w:sz w:val="20"/>
          <w:szCs w:val="20"/>
          <w:color w:val="auto"/>
        </w:rPr>
      </w:pPr>
    </w:p>
    <w:p>
      <w:pPr>
        <w:ind w:left="208" w:hanging="208"/>
        <w:spacing w:after="0"/>
        <w:tabs>
          <w:tab w:leader="none" w:pos="208"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CREDIT FACILITY</w:t>
      </w:r>
    </w:p>
    <w:p>
      <w:pPr>
        <w:spacing w:after="0" w:line="123" w:lineRule="exact"/>
        <w:rPr>
          <w:sz w:val="20"/>
          <w:szCs w:val="20"/>
          <w:color w:val="auto"/>
        </w:rPr>
      </w:pPr>
    </w:p>
    <w:p>
      <w:pPr>
        <w:ind w:left="8" w:right="40"/>
        <w:spacing w:after="0" w:line="230" w:lineRule="auto"/>
        <w:rPr>
          <w:sz w:val="20"/>
          <w:szCs w:val="20"/>
          <w:color w:val="auto"/>
        </w:rPr>
      </w:pPr>
      <w:r>
        <w:rPr>
          <w:rFonts w:ascii="Times New Roman" w:cs="Times New Roman" w:eastAsia="Times New Roman" w:hAnsi="Times New Roman"/>
          <w:sz w:val="12"/>
          <w:szCs w:val="12"/>
          <w:color w:val="auto"/>
        </w:rPr>
        <w:t>On May 14, 2019, the Company entered into a secured credit facility (“Credit Agreement”) with Town Bank (“Lender”). The Credit Agreement provides for a $5,000,000 revolving secured credit facility for letters of credit for the benefit of the Company of up to a sublimit of $1,000,000. There are no unused line fees in the credit facility. On January 28, 2021, the Credit Agreement was amended to extend the expiration to October 31, 2022, and to change the interest rate to Wall Street Journal Prime less 1.50%. A Third Amendment to the Credit Agreement effective October 30, 2022 extends the maturity date to October 31, 2024. The Company and the Lender also entered into a General Business Security Agreement dated May 14, 2019 under which the Company granted the Lender a security interest in substantially all of the Company’s assets in connection with the Company’s obligations under the Credit 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March 31, 2024, the Company was in compliance with all covenants related to the Credit Agreement. As of March 31, 2024 and June 30, 2023, there were no outstanding borrowings on the facility.</w:t>
      </w:r>
    </w:p>
    <w:p>
      <w:pPr>
        <w:spacing w:after="0" w:line="200" w:lineRule="exact"/>
        <w:rPr>
          <w:sz w:val="20"/>
          <w:szCs w:val="20"/>
          <w:color w:val="auto"/>
        </w:rPr>
      </w:pPr>
    </w:p>
    <w:p>
      <w:pPr>
        <w:spacing w:after="0" w:line="2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215265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0" w:right="299" w:bottom="1440" w:gutter="0" w:footer="0" w:header="0"/>
        </w:sectPr>
      </w:pPr>
    </w:p>
    <w:bookmarkStart w:id="12" w:name="page13"/>
    <w:bookmarkEnd w:id="12"/>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49" w:lineRule="exact"/>
        <w:rPr>
          <w:sz w:val="20"/>
          <w:szCs w:val="20"/>
          <w:color w:val="auto"/>
        </w:rPr>
      </w:pPr>
    </w:p>
    <w:p>
      <w:pPr>
        <w:ind w:left="208" w:hanging="208"/>
        <w:spacing w:after="0"/>
        <w:tabs>
          <w:tab w:leader="none" w:pos="208"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RECOGNITION</w:t>
      </w:r>
    </w:p>
    <w:p>
      <w:pPr>
        <w:spacing w:after="0" w:line="123" w:lineRule="exact"/>
        <w:rPr>
          <w:sz w:val="20"/>
          <w:szCs w:val="20"/>
          <w:color w:val="auto"/>
        </w:rPr>
      </w:pPr>
    </w:p>
    <w:p>
      <w:pPr>
        <w:ind w:left="8" w:right="220"/>
        <w:spacing w:after="0" w:line="248" w:lineRule="auto"/>
        <w:rPr>
          <w:sz w:val="20"/>
          <w:szCs w:val="20"/>
          <w:color w:val="auto"/>
        </w:rPr>
      </w:pPr>
      <w:r>
        <w:rPr>
          <w:rFonts w:ascii="Times New Roman" w:cs="Times New Roman" w:eastAsia="Times New Roman" w:hAnsi="Times New Roman"/>
          <w:sz w:val="12"/>
          <w:szCs w:val="12"/>
          <w:color w:val="auto"/>
        </w:rPr>
        <w:t>The Company disaggregates its net sales by geographical location as it believes it best depicts how the nature, timing and uncertainty of net sales and cash flows are affected by economic factors. The following table summarizes net sales by geographical location:</w:t>
      </w:r>
    </w:p>
    <w:p>
      <w:pPr>
        <w:spacing w:after="0" w:line="113"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80" w:type="dxa"/>
            <w:vAlign w:val="bottom"/>
            <w:gridSpan w:val="3"/>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1020" w:type="dxa"/>
            <w:vAlign w:val="bottom"/>
          </w:tcPr>
          <w:p>
            <w:pPr>
              <w:spacing w:after="0"/>
              <w:rPr>
                <w:sz w:val="12"/>
                <w:szCs w:val="12"/>
                <w:color w:val="auto"/>
              </w:rPr>
            </w:pPr>
          </w:p>
        </w:tc>
      </w:tr>
      <w:tr>
        <w:trPr>
          <w:trHeight w:val="150"/>
        </w:trPr>
        <w:tc>
          <w:tcPr>
            <w:tcW w:w="444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3"/>
          </w:tcPr>
          <w:p>
            <w:pPr>
              <w:jc w:val="right"/>
              <w:ind w:right="346"/>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1020" w:type="dxa"/>
            <w:vAlign w:val="bottom"/>
            <w:tcBorders>
              <w:bottom w:val="single" w:sz="8" w:color="auto"/>
            </w:tcBorders>
          </w:tcPr>
          <w:p>
            <w:pPr>
              <w:spacing w:after="0"/>
              <w:rPr>
                <w:sz w:val="13"/>
                <w:szCs w:val="13"/>
                <w:color w:val="auto"/>
              </w:rPr>
            </w:pPr>
          </w:p>
        </w:tc>
      </w:tr>
      <w:tr>
        <w:trPr>
          <w:trHeight w:val="115"/>
        </w:trPr>
        <w:tc>
          <w:tcPr>
            <w:tcW w:w="444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ind w:right="620"/>
              <w:spacing w:after="0" w:line="115" w:lineRule="exact"/>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20"/>
              <w:spacing w:after="0" w:line="115" w:lineRule="exact"/>
              <w:rPr>
                <w:sz w:val="20"/>
                <w:szCs w:val="20"/>
                <w:color w:val="auto"/>
              </w:rPr>
            </w:pPr>
            <w:r>
              <w:rPr>
                <w:rFonts w:ascii="Times New Roman" w:cs="Times New Roman" w:eastAsia="Times New Roman" w:hAnsi="Times New Roman"/>
                <w:sz w:val="12"/>
                <w:szCs w:val="12"/>
                <w:b w:val="1"/>
                <w:bCs w:val="1"/>
                <w:color w:val="auto"/>
              </w:rPr>
              <w:t>2023</w:t>
            </w:r>
          </w:p>
        </w:tc>
        <w:tc>
          <w:tcPr>
            <w:tcW w:w="1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ind w:right="600"/>
              <w:spacing w:after="0" w:line="115" w:lineRule="exact"/>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ind w:right="600"/>
              <w:spacing w:after="0" w:line="115" w:lineRule="exact"/>
              <w:rPr>
                <w:sz w:val="20"/>
                <w:szCs w:val="20"/>
                <w:color w:val="auto"/>
              </w:rPr>
            </w:pPr>
            <w:r>
              <w:rPr>
                <w:rFonts w:ascii="Times New Roman" w:cs="Times New Roman" w:eastAsia="Times New Roman" w:hAnsi="Times New Roman"/>
                <w:sz w:val="12"/>
                <w:szCs w:val="12"/>
                <w:b w:val="1"/>
                <w:bCs w:val="1"/>
                <w:color w:val="auto"/>
              </w:rPr>
              <w:t>2023</w:t>
            </w:r>
          </w:p>
        </w:tc>
      </w:tr>
      <w:tr>
        <w:trPr>
          <w:trHeight w:val="115"/>
        </w:trPr>
        <w:tc>
          <w:tcPr>
            <w:tcW w:w="444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United States</w:t>
            </w:r>
          </w:p>
        </w:tc>
        <w:tc>
          <w:tcPr>
            <w:tcW w:w="360" w:type="dxa"/>
            <w:vAlign w:val="bottom"/>
            <w:shd w:val="clear" w:color="auto" w:fill="CCEEFF"/>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2,055,551</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2,728,824</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7,326,220</w:t>
            </w:r>
          </w:p>
        </w:tc>
        <w:tc>
          <w:tcPr>
            <w:tcW w:w="180" w:type="dxa"/>
            <w:vAlign w:val="bottom"/>
            <w:shd w:val="clear" w:color="auto" w:fill="CCEEFF"/>
          </w:tcPr>
          <w:p>
            <w:pPr>
              <w:spacing w:after="0"/>
              <w:rPr>
                <w:sz w:val="10"/>
                <w:szCs w:val="10"/>
                <w:color w:val="auto"/>
              </w:rPr>
            </w:pPr>
          </w:p>
        </w:tc>
        <w:tc>
          <w:tcPr>
            <w:tcW w:w="560" w:type="dxa"/>
            <w:vAlign w:val="bottom"/>
            <w:shd w:val="clear" w:color="auto" w:fill="CCEEFF"/>
          </w:tcPr>
          <w:p>
            <w:pPr>
              <w:jc w:val="right"/>
              <w:ind w:right="42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7,620,067</w:t>
            </w:r>
          </w:p>
        </w:tc>
      </w:tr>
      <w:tr>
        <w:trPr>
          <w:trHeight w:val="126"/>
        </w:trPr>
        <w:tc>
          <w:tcPr>
            <w:tcW w:w="4440" w:type="dxa"/>
            <w:vAlign w:val="bottom"/>
            <w:tcBorders>
              <w:bottom w:val="single" w:sz="8" w:color="CCEEFF"/>
            </w:tcBorders>
          </w:tcPr>
          <w:p>
            <w:pPr>
              <w:spacing w:after="0" w:line="126" w:lineRule="exact"/>
              <w:rPr>
                <w:sz w:val="20"/>
                <w:szCs w:val="20"/>
                <w:color w:val="auto"/>
              </w:rPr>
            </w:pPr>
            <w:r>
              <w:rPr>
                <w:rFonts w:ascii="Times New Roman" w:cs="Times New Roman" w:eastAsia="Times New Roman" w:hAnsi="Times New Roman"/>
                <w:sz w:val="12"/>
                <w:szCs w:val="12"/>
                <w:color w:val="auto"/>
              </w:rPr>
              <w:t>Export</w:t>
            </w:r>
          </w:p>
        </w:tc>
        <w:tc>
          <w:tcPr>
            <w:tcW w:w="3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582,055</w:t>
            </w: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652,016</w:t>
            </w:r>
          </w:p>
        </w:tc>
        <w:tc>
          <w:tcPr>
            <w:tcW w:w="1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2,045,448</w:t>
            </w:r>
          </w:p>
        </w:tc>
        <w:tc>
          <w:tcPr>
            <w:tcW w:w="18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2"/>
                <w:szCs w:val="12"/>
                <w:color w:val="auto"/>
              </w:rPr>
              <w:t>2,406,234</w:t>
            </w:r>
          </w:p>
        </w:tc>
      </w:tr>
      <w:tr>
        <w:trPr>
          <w:trHeight w:val="122"/>
        </w:trPr>
        <w:tc>
          <w:tcPr>
            <w:tcW w:w="4440" w:type="dxa"/>
            <w:vAlign w:val="bottom"/>
            <w:tcBorders>
              <w:bottom w:val="single" w:sz="8" w:color="CCEEFF"/>
            </w:tcBorders>
            <w:shd w:val="clear" w:color="auto" w:fill="CCEEFF"/>
          </w:tcPr>
          <w:p>
            <w:pPr>
              <w:ind w:left="60"/>
              <w:spacing w:after="0" w:line="115" w:lineRule="exact"/>
              <w:rPr>
                <w:sz w:val="20"/>
                <w:szCs w:val="20"/>
                <w:color w:val="auto"/>
              </w:rPr>
            </w:pPr>
            <w:r>
              <w:rPr>
                <w:rFonts w:ascii="Times New Roman" w:cs="Times New Roman" w:eastAsia="Times New Roman" w:hAnsi="Times New Roman"/>
                <w:sz w:val="12"/>
                <w:szCs w:val="12"/>
                <w:color w:val="auto"/>
              </w:rPr>
              <w:t>Net Sales</w:t>
            </w:r>
          </w:p>
        </w:tc>
        <w:tc>
          <w:tcPr>
            <w:tcW w:w="360" w:type="dxa"/>
            <w:vAlign w:val="bottom"/>
            <w:tcBorders>
              <w:bottom w:val="single" w:sz="8" w:color="auto"/>
            </w:tcBorders>
            <w:shd w:val="clear" w:color="auto" w:fill="CCEEFF"/>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2,637,606</w:t>
            </w:r>
          </w:p>
        </w:tc>
        <w:tc>
          <w:tcPr>
            <w:tcW w:w="18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ind w:right="4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3,380,840</w:t>
            </w:r>
          </w:p>
        </w:tc>
        <w:tc>
          <w:tcPr>
            <w:tcW w:w="180" w:type="dxa"/>
            <w:vAlign w:val="bottom"/>
            <w:tcBorders>
              <w:bottom w:val="single" w:sz="8" w:color="CCEEFF"/>
            </w:tcBorders>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9,371,668</w:t>
            </w:r>
          </w:p>
        </w:tc>
        <w:tc>
          <w:tcPr>
            <w:tcW w:w="180" w:type="dxa"/>
            <w:vAlign w:val="bottom"/>
            <w:tcBorders>
              <w:bottom w:val="single" w:sz="8" w:color="CCEEFF"/>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jc w:val="right"/>
              <w:ind w:right="420"/>
              <w:spacing w:after="0" w:line="115" w:lineRule="exact"/>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10,026,301</w:t>
            </w:r>
          </w:p>
        </w:tc>
      </w:tr>
    </w:tbl>
    <w:p>
      <w:pPr>
        <w:spacing w:after="0" w:line="106" w:lineRule="exact"/>
        <w:rPr>
          <w:sz w:val="20"/>
          <w:szCs w:val="20"/>
          <w:color w:val="auto"/>
        </w:rPr>
      </w:pPr>
    </w:p>
    <w:p>
      <w:pPr>
        <w:ind w:left="8" w:right="80"/>
        <w:spacing w:after="0" w:line="235" w:lineRule="auto"/>
        <w:rPr>
          <w:sz w:val="20"/>
          <w:szCs w:val="20"/>
          <w:color w:val="auto"/>
        </w:rPr>
      </w:pPr>
      <w:r>
        <w:rPr>
          <w:rFonts w:ascii="Times New Roman" w:cs="Times New Roman" w:eastAsia="Times New Roman" w:hAnsi="Times New Roman"/>
          <w:sz w:val="12"/>
          <w:szCs w:val="12"/>
          <w:color w:val="auto"/>
        </w:rPr>
        <w:t>Deferred revenue relates primarily to consumer and customer warranties. These constitute future performance obligations, and the Company defers revenue related to these future performance obligations. Effective July 1, 2023, the Company increased its deferral rates from 2.4% to 3% for domestic sales and decreased its deferral rate from 10% to 8% for export sales to reflect recent warranty experience. In the nine months ended March 31, 2024 and 2023, the Company recognized revenue, which was included in the deferred revenue liability at the beginning of the periods of $264,251 and $284,584, respectively, for performance obligations related to consumer and customer warranties. The Company estimates that the deferred revenue performance obligations are satisfied within one year to three years and therefore uses that same timeframe for recognition of the deferred revenue.</w:t>
      </w:r>
    </w:p>
    <w:p>
      <w:pPr>
        <w:spacing w:after="0" w:line="234" w:lineRule="exact"/>
        <w:rPr>
          <w:sz w:val="20"/>
          <w:szCs w:val="20"/>
          <w:color w:val="auto"/>
        </w:rPr>
      </w:pPr>
    </w:p>
    <w:p>
      <w:pPr>
        <w:ind w:left="208" w:hanging="208"/>
        <w:spacing w:after="0"/>
        <w:tabs>
          <w:tab w:leader="none" w:pos="208"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(LOSS) INCOME PER COMMON AND COMMON STOCK EQUIVALENT SHARE</w:t>
      </w:r>
    </w:p>
    <w:p>
      <w:pPr>
        <w:spacing w:after="0" w:line="123" w:lineRule="exact"/>
        <w:rPr>
          <w:sz w:val="20"/>
          <w:szCs w:val="20"/>
          <w:color w:val="auto"/>
        </w:rPr>
      </w:pPr>
    </w:p>
    <w:p>
      <w:pPr>
        <w:ind w:left="8" w:right="60"/>
        <w:spacing w:after="0" w:line="248" w:lineRule="auto"/>
        <w:rPr>
          <w:sz w:val="20"/>
          <w:szCs w:val="20"/>
          <w:color w:val="auto"/>
        </w:rPr>
      </w:pPr>
      <w:r>
        <w:rPr>
          <w:rFonts w:ascii="Times New Roman" w:cs="Times New Roman" w:eastAsia="Times New Roman" w:hAnsi="Times New Roman"/>
          <w:sz w:val="12"/>
          <w:szCs w:val="12"/>
          <w:color w:val="auto"/>
        </w:rPr>
        <w:t>Basic (loss) income per common share is computed based on the weighted-average number of common shares outstanding. Diluted (loss) income per common share is calculated assuming the exercise of stock options except where the result would be anti-dilutive. The following table reconciles the numerator and denominator used to calculate basic and diluted (loss) income per share:</w:t>
      </w:r>
    </w:p>
    <w:p>
      <w:pPr>
        <w:spacing w:after="0" w:line="35" w:lineRule="exact"/>
        <w:rPr>
          <w:sz w:val="20"/>
          <w:szCs w:val="20"/>
          <w:color w:val="auto"/>
        </w:rPr>
      </w:pPr>
    </w:p>
    <w:tbl>
      <w:tblPr>
        <w:tblLayout w:type="fixed"/>
        <w:tblInd w:w="8" w:type="dxa"/>
        <w:tblCellMar>
          <w:top w:w="0" w:type="dxa"/>
          <w:left w:w="0" w:type="dxa"/>
          <w:bottom w:w="0" w:type="dxa"/>
          <w:right w:w="0" w:type="dxa"/>
        </w:tblCellMar>
      </w:tblPr>
      <w:tr>
        <w:trPr>
          <w:trHeight w:val="150"/>
        </w:trPr>
        <w:tc>
          <w:tcPr>
            <w:tcW w:w="6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280" w:type="dxa"/>
            <w:vAlign w:val="bottom"/>
          </w:tcPr>
          <w:p>
            <w:pPr>
              <w:spacing w:after="0"/>
              <w:rPr>
                <w:sz w:val="13"/>
                <w:szCs w:val="13"/>
                <w:color w:val="auto"/>
              </w:rPr>
            </w:pPr>
          </w:p>
        </w:tc>
        <w:tc>
          <w:tcPr>
            <w:tcW w:w="2280" w:type="dxa"/>
            <w:vAlign w:val="bottom"/>
            <w:gridSpan w:val="4"/>
          </w:tcPr>
          <w:p>
            <w:pPr>
              <w:jc w:val="right"/>
              <w:ind w:right="420"/>
              <w:spacing w:after="0"/>
              <w:rPr>
                <w:sz w:val="20"/>
                <w:szCs w:val="20"/>
                <w:color w:val="auto"/>
              </w:rPr>
            </w:pPr>
            <w:r>
              <w:rPr>
                <w:rFonts w:ascii="Times New Roman" w:cs="Times New Roman" w:eastAsia="Times New Roman" w:hAnsi="Times New Roman"/>
                <w:sz w:val="12"/>
                <w:szCs w:val="12"/>
                <w:b w:val="1"/>
                <w:bCs w:val="1"/>
                <w:color w:val="auto"/>
              </w:rPr>
              <w:t>Nine Months Ended March 31,</w:t>
            </w:r>
          </w:p>
        </w:tc>
      </w:tr>
      <w:tr>
        <w:trPr>
          <w:trHeight w:val="115"/>
        </w:trPr>
        <w:tc>
          <w:tcPr>
            <w:tcW w:w="6080" w:type="dxa"/>
            <w:vAlign w:val="bottom"/>
            <w:tcBorders>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420"/>
              <w:spacing w:after="0" w:line="115"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top w:val="single" w:sz="8" w:color="auto"/>
              <w:bottom w:val="single" w:sz="8" w:color="CCEEFF"/>
            </w:tcBorders>
          </w:tcPr>
          <w:p>
            <w:pPr>
              <w:spacing w:after="0"/>
              <w:rPr>
                <w:sz w:val="10"/>
                <w:szCs w:val="10"/>
                <w:color w:val="auto"/>
              </w:rPr>
            </w:pPr>
          </w:p>
        </w:tc>
        <w:tc>
          <w:tcPr>
            <w:tcW w:w="26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420"/>
              <w:spacing w:after="0" w:line="115" w:lineRule="exact"/>
              <w:rPr>
                <w:sz w:val="20"/>
                <w:szCs w:val="20"/>
                <w:color w:val="auto"/>
              </w:rPr>
            </w:pPr>
            <w:r>
              <w:rPr>
                <w:rFonts w:ascii="Times New Roman" w:cs="Times New Roman" w:eastAsia="Times New Roman" w:hAnsi="Times New Roman"/>
                <w:sz w:val="12"/>
                <w:szCs w:val="12"/>
                <w:b w:val="1"/>
                <w:bCs w:val="1"/>
                <w:color w:val="auto"/>
              </w:rPr>
              <w:t>2023</w:t>
            </w:r>
          </w:p>
        </w:tc>
        <w:tc>
          <w:tcPr>
            <w:tcW w:w="120" w:type="dxa"/>
            <w:vAlign w:val="bottom"/>
            <w:tcBorders>
              <w:bottom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920" w:type="dxa"/>
            <w:vAlign w:val="bottom"/>
            <w:tcBorders>
              <w:top w:val="single" w:sz="8" w:color="auto"/>
              <w:bottom w:val="single" w:sz="8" w:color="auto"/>
            </w:tcBorders>
          </w:tcPr>
          <w:p>
            <w:pPr>
              <w:jc w:val="right"/>
              <w:ind w:right="420"/>
              <w:spacing w:after="0" w:line="115" w:lineRule="exact"/>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top w:val="single" w:sz="8" w:color="auto"/>
              <w:bottom w:val="single" w:sz="8" w:color="CCEEFF"/>
            </w:tcBorders>
          </w:tcPr>
          <w:p>
            <w:pPr>
              <w:spacing w:after="0"/>
              <w:rPr>
                <w:sz w:val="10"/>
                <w:szCs w:val="10"/>
                <w:color w:val="auto"/>
              </w:rPr>
            </w:pPr>
          </w:p>
        </w:tc>
        <w:tc>
          <w:tcPr>
            <w:tcW w:w="280" w:type="dxa"/>
            <w:vAlign w:val="bottom"/>
            <w:tcBorders>
              <w:top w:val="single" w:sz="8" w:color="auto"/>
              <w:bottom w:val="single" w:sz="8" w:color="auto"/>
            </w:tcBorders>
          </w:tcPr>
          <w:p>
            <w:pPr>
              <w:spacing w:after="0"/>
              <w:rPr>
                <w:sz w:val="10"/>
                <w:szCs w:val="10"/>
                <w:color w:val="auto"/>
              </w:rPr>
            </w:pPr>
          </w:p>
        </w:tc>
        <w:tc>
          <w:tcPr>
            <w:tcW w:w="940" w:type="dxa"/>
            <w:vAlign w:val="bottom"/>
            <w:tcBorders>
              <w:top w:val="single" w:sz="8" w:color="auto"/>
              <w:bottom w:val="single" w:sz="8" w:color="auto"/>
            </w:tcBorders>
          </w:tcPr>
          <w:p>
            <w:pPr>
              <w:jc w:val="right"/>
              <w:ind w:right="440"/>
              <w:spacing w:after="0" w:line="115" w:lineRule="exact"/>
              <w:rPr>
                <w:sz w:val="20"/>
                <w:szCs w:val="20"/>
                <w:color w:val="auto"/>
              </w:rPr>
            </w:pPr>
            <w:r>
              <w:rPr>
                <w:rFonts w:ascii="Times New Roman" w:cs="Times New Roman" w:eastAsia="Times New Roman" w:hAnsi="Times New Roman"/>
                <w:sz w:val="12"/>
                <w:szCs w:val="12"/>
                <w:b w:val="1"/>
                <w:bCs w:val="1"/>
                <w:color w:val="auto"/>
              </w:rPr>
              <w:t>2023</w:t>
            </w:r>
          </w:p>
        </w:tc>
      </w:tr>
      <w:tr>
        <w:trPr>
          <w:trHeight w:val="115"/>
        </w:trPr>
        <w:tc>
          <w:tcPr>
            <w:tcW w:w="60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b w:val="1"/>
                <w:bCs w:val="1"/>
                <w:color w:val="auto"/>
              </w:rPr>
              <w:t>Numerator</w:t>
            </w: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26"/>
        </w:trPr>
        <w:tc>
          <w:tcPr>
            <w:tcW w:w="60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Net (loss) income</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(313,780)</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(224,480)</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(840,542)</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8,579,052</w:t>
            </w:r>
          </w:p>
        </w:tc>
      </w:tr>
      <w:tr>
        <w:trPr>
          <w:trHeight w:val="115"/>
        </w:trPr>
        <w:tc>
          <w:tcPr>
            <w:tcW w:w="60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r>
      <w:tr>
        <w:trPr>
          <w:trHeight w:val="126"/>
        </w:trPr>
        <w:tc>
          <w:tcPr>
            <w:tcW w:w="6080" w:type="dxa"/>
            <w:vAlign w:val="bottom"/>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Denominator</w:t>
            </w: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6"/>
        </w:trPr>
        <w:tc>
          <w:tcPr>
            <w:tcW w:w="6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Weighted average shares, basic</w:t>
            </w: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9,254,795</w:t>
            </w: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9,206,135</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9,243,559</w:t>
            </w: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9,183,042</w:t>
            </w:r>
          </w:p>
        </w:tc>
      </w:tr>
      <w:tr>
        <w:trPr>
          <w:trHeight w:val="126"/>
        </w:trPr>
        <w:tc>
          <w:tcPr>
            <w:tcW w:w="608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Dilutive effect of stock compensation awards (1)</w:t>
            </w:r>
          </w:p>
        </w:tc>
        <w:tc>
          <w:tcPr>
            <w:tcW w:w="260" w:type="dxa"/>
            <w:vAlign w:val="bottom"/>
          </w:tcPr>
          <w:p>
            <w:pPr>
              <w:spacing w:after="0"/>
              <w:rPr>
                <w:sz w:val="10"/>
                <w:szCs w:val="10"/>
                <w:color w:val="auto"/>
              </w:rPr>
            </w:pPr>
          </w:p>
        </w:tc>
        <w:tc>
          <w:tcPr>
            <w:tcW w:w="10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0"/>
                <w:szCs w:val="10"/>
                <w:color w:val="auto"/>
              </w:rPr>
            </w:pPr>
          </w:p>
        </w:tc>
        <w:tc>
          <w:tcPr>
            <w:tcW w:w="106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0"/>
                <w:szCs w:val="10"/>
                <w:color w:val="auto"/>
              </w:rPr>
            </w:pPr>
          </w:p>
        </w:tc>
        <w:tc>
          <w:tcPr>
            <w:tcW w:w="10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0"/>
                <w:szCs w:val="10"/>
                <w:color w:val="auto"/>
              </w:rPr>
            </w:pP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608,585</w:t>
            </w:r>
          </w:p>
        </w:tc>
      </w:tr>
      <w:tr>
        <w:trPr>
          <w:trHeight w:val="122"/>
        </w:trPr>
        <w:tc>
          <w:tcPr>
            <w:tcW w:w="6080" w:type="dxa"/>
            <w:vAlign w:val="bottom"/>
            <w:tcBorders>
              <w:top w:val="single" w:sz="8" w:color="CCEEFF"/>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Diluted shares</w:t>
            </w: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9,254,795</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auto"/>
              <w:bottom w:val="single" w:sz="8" w:color="auto"/>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9,206,135</w:t>
            </w:r>
          </w:p>
        </w:tc>
        <w:tc>
          <w:tcPr>
            <w:tcW w:w="12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92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9,243,559</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280" w:type="dxa"/>
            <w:vAlign w:val="bottom"/>
            <w:tcBorders>
              <w:top w:val="single" w:sz="8" w:color="auto"/>
              <w:bottom w:val="single" w:sz="8" w:color="auto"/>
            </w:tcBorders>
            <w:shd w:val="clear" w:color="auto" w:fill="CCEEFF"/>
          </w:tcPr>
          <w:p>
            <w:pPr>
              <w:spacing w:after="0"/>
              <w:rPr>
                <w:sz w:val="10"/>
                <w:szCs w:val="10"/>
                <w:color w:val="auto"/>
              </w:rPr>
            </w:pPr>
          </w:p>
        </w:tc>
        <w:tc>
          <w:tcPr>
            <w:tcW w:w="9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9,791,627</w:t>
            </w:r>
          </w:p>
        </w:tc>
      </w:tr>
      <w:tr>
        <w:trPr>
          <w:trHeight w:val="126"/>
        </w:trPr>
        <w:tc>
          <w:tcPr>
            <w:tcW w:w="6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6"/>
        </w:trPr>
        <w:tc>
          <w:tcPr>
            <w:tcW w:w="60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Net (loss) income attributable to common shareholders per share:</w:t>
            </w: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r>
      <w:tr>
        <w:trPr>
          <w:trHeight w:val="126"/>
        </w:trPr>
        <w:tc>
          <w:tcPr>
            <w:tcW w:w="6080" w:type="dxa"/>
            <w:vAlign w:val="bottom"/>
          </w:tcPr>
          <w:p>
            <w:pPr>
              <w:ind w:left="140"/>
              <w:spacing w:after="0" w:line="126" w:lineRule="exact"/>
              <w:rPr>
                <w:sz w:val="20"/>
                <w:szCs w:val="20"/>
                <w:color w:val="auto"/>
              </w:rPr>
            </w:pPr>
            <w:r>
              <w:rPr>
                <w:rFonts w:ascii="Times New Roman" w:cs="Times New Roman" w:eastAsia="Times New Roman" w:hAnsi="Times New Roman"/>
                <w:sz w:val="12"/>
                <w:szCs w:val="12"/>
                <w:color w:val="auto"/>
              </w:rPr>
              <w:t>Basic</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(0.03)</w:t>
            </w: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(0.02)</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(0.09)</w:t>
            </w: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0.93</w:t>
            </w:r>
          </w:p>
        </w:tc>
      </w:tr>
      <w:tr>
        <w:trPr>
          <w:trHeight w:val="126"/>
        </w:trPr>
        <w:tc>
          <w:tcPr>
            <w:tcW w:w="60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2"/>
                <w:szCs w:val="12"/>
                <w:color w:val="auto"/>
              </w:rPr>
              <w:t>Diluted</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(0.03)</w:t>
            </w: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2"/>
                <w:szCs w:val="12"/>
                <w:color w:val="auto"/>
              </w:rPr>
              <w:t>(0.02)</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(0.09)</w:t>
            </w:r>
          </w:p>
        </w:tc>
        <w:tc>
          <w:tcPr>
            <w:tcW w:w="280" w:type="dxa"/>
            <w:vAlign w:val="bottom"/>
            <w:shd w:val="clear" w:color="auto" w:fill="CCEEFF"/>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0.88</w:t>
            </w:r>
          </w:p>
        </w:tc>
      </w:tr>
    </w:tbl>
    <w:p>
      <w:pPr>
        <w:spacing w:after="0" w:line="106" w:lineRule="exact"/>
        <w:rPr>
          <w:sz w:val="20"/>
          <w:szCs w:val="20"/>
          <w:color w:val="auto"/>
        </w:rPr>
      </w:pPr>
    </w:p>
    <w:p>
      <w:pPr>
        <w:ind w:left="8" w:right="240" w:hanging="8"/>
        <w:spacing w:after="0" w:line="264" w:lineRule="auto"/>
        <w:tabs>
          <w:tab w:leader="none" w:pos="178"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Excludes 700,911, 729,384, and 999,557 weighted average stock options during the three and nine months ended March 31, 2024 and the three months ended March 31, 2023, respectively, as the impact of such awards was anti-dilutive. For the nine months ended March 31, 2023, no stock options were anti-dilutive.</w:t>
      </w:r>
    </w:p>
    <w:p>
      <w:pPr>
        <w:spacing w:after="0" w:line="83" w:lineRule="exact"/>
        <w:rPr>
          <w:sz w:val="20"/>
          <w:szCs w:val="20"/>
          <w:color w:val="auto"/>
        </w:rPr>
      </w:pPr>
    </w:p>
    <w:p>
      <w:pPr>
        <w:ind w:left="208" w:hanging="208"/>
        <w:spacing w:after="0"/>
        <w:tabs>
          <w:tab w:leader="none" w:pos="208"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RELATED PARTY TRANSACTIONS</w:t>
      </w:r>
    </w:p>
    <w:p>
      <w:pPr>
        <w:spacing w:after="0" w:line="123" w:lineRule="exact"/>
        <w:rPr>
          <w:sz w:val="20"/>
          <w:szCs w:val="20"/>
          <w:color w:val="auto"/>
        </w:rPr>
      </w:pPr>
    </w:p>
    <w:p>
      <w:pPr>
        <w:ind w:left="8" w:right="60"/>
        <w:spacing w:after="0" w:line="235" w:lineRule="auto"/>
        <w:rPr>
          <w:sz w:val="20"/>
          <w:szCs w:val="20"/>
          <w:color w:val="auto"/>
        </w:rPr>
      </w:pPr>
      <w:r>
        <w:rPr>
          <w:rFonts w:ascii="Times New Roman" w:cs="Times New Roman" w:eastAsia="Times New Roman" w:hAnsi="Times New Roman"/>
          <w:sz w:val="12"/>
          <w:szCs w:val="12"/>
          <w:color w:val="auto"/>
        </w:rPr>
        <w:t>The Company leases its facility in Milwaukee, Wisconsin from Koss Holdings, LLC, which is controlled by five equal ownership interests in trusts held by the five beneficiaries of a former chairman’s revocable trust and includes current stockholders of the Company. On May 24, 2022, the lease was renewed for a period of five years, ending June 30, 2028, and is being accounted for as an operating lease. The lease extension maintained the rent at a fixed rate of $380,000 per year and included an option to renew at an increased rate of $397,000 for an additional five years ending June 30, 2033. The negotiated increase in rent slated for 2028 will be the first increase in rent since 1996. The Company is responsible for all property maintenance, insurance, taxes and other normal expenses related to ownership.</w:t>
      </w:r>
    </w:p>
    <w:p>
      <w:pPr>
        <w:spacing w:after="0" w:line="108" w:lineRule="exact"/>
        <w:rPr>
          <w:sz w:val="20"/>
          <w:szCs w:val="20"/>
          <w:color w:val="auto"/>
        </w:rPr>
      </w:pPr>
    </w:p>
    <w:p>
      <w:pPr>
        <w:ind w:left="8" w:right="40"/>
        <w:spacing w:after="0" w:line="241" w:lineRule="auto"/>
        <w:rPr>
          <w:sz w:val="20"/>
          <w:szCs w:val="20"/>
          <w:color w:val="auto"/>
        </w:rPr>
      </w:pPr>
      <w:r>
        <w:rPr>
          <w:rFonts w:ascii="Times New Roman" w:cs="Times New Roman" w:eastAsia="Times New Roman" w:hAnsi="Times New Roman"/>
          <w:sz w:val="12"/>
          <w:szCs w:val="12"/>
          <w:color w:val="auto"/>
        </w:rPr>
        <w:t>During the nine months ended March 31, 2023, the Company accrued and made charitable contributions of $79,000 to the Koss Foundation (the “Foundation”), a 501(c)(3) charitable organization for which Michael J. Koss and John C. Koss Jr., executive officers of the Company, serve as officers. Neither officer receives fees or compensation from the Foundation for holding these positions. There were no charitable contributions made to the Foundation during the three and nine months ended March 31, 2024.</w:t>
      </w:r>
    </w:p>
    <w:p>
      <w:pPr>
        <w:spacing w:after="0" w:line="10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209550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20" w:right="299" w:bottom="1440" w:gutter="0" w:footer="0" w:header="0"/>
        </w:sectPr>
      </w:pPr>
    </w:p>
    <w:bookmarkStart w:id="13" w:name="page14"/>
    <w:bookmarkEnd w:id="13"/>
    <w:p>
      <w:pPr>
        <w:ind w:left="8"/>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23"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color w:val="auto"/>
        </w:rPr>
        <w:t>8.</w:t>
      </w:r>
      <w:r>
        <w:rPr>
          <w:sz w:val="20"/>
          <w:szCs w:val="20"/>
          <w:color w:val="auto"/>
        </w:rPr>
        <w:tab/>
      </w:r>
      <w:r>
        <w:rPr>
          <w:rFonts w:ascii="Times New Roman" w:cs="Times New Roman" w:eastAsia="Times New Roman" w:hAnsi="Times New Roman"/>
          <w:sz w:val="11"/>
          <w:szCs w:val="11"/>
          <w:color w:val="auto"/>
        </w:rPr>
        <w:t>ACCOUNTS RECEIVABLE CONCENTRATIONS</w:t>
      </w:r>
    </w:p>
    <w:p>
      <w:pPr>
        <w:spacing w:after="0" w:line="123" w:lineRule="exact"/>
        <w:rPr>
          <w:sz w:val="20"/>
          <w:szCs w:val="20"/>
          <w:color w:val="auto"/>
        </w:rPr>
      </w:pPr>
    </w:p>
    <w:p>
      <w:pPr>
        <w:ind w:left="8" w:right="180"/>
        <w:spacing w:after="0" w:line="248" w:lineRule="auto"/>
        <w:rPr>
          <w:sz w:val="20"/>
          <w:szCs w:val="20"/>
          <w:color w:val="auto"/>
        </w:rPr>
      </w:pPr>
      <w:r>
        <w:rPr>
          <w:rFonts w:ascii="Times New Roman" w:cs="Times New Roman" w:eastAsia="Times New Roman" w:hAnsi="Times New Roman"/>
          <w:sz w:val="12"/>
          <w:szCs w:val="12"/>
          <w:color w:val="auto"/>
        </w:rPr>
        <w:t>As of March 31, 2024, the Company’s top three accounts receivable customers represented approximately 25%, 12% and 10% of trade accounts receivable. The top three accounts receivable customers as of June 30, 2023 represented approximately 24%, 14% and 13%.</w:t>
      </w:r>
    </w:p>
    <w:p>
      <w:pPr>
        <w:spacing w:after="0" w:line="102" w:lineRule="exact"/>
        <w:rPr>
          <w:sz w:val="20"/>
          <w:szCs w:val="20"/>
          <w:color w:val="auto"/>
        </w:rPr>
      </w:pPr>
    </w:p>
    <w:p>
      <w:pPr>
        <w:ind w:left="208" w:hanging="208"/>
        <w:spacing w:after="0"/>
        <w:tabs>
          <w:tab w:leader="none" w:pos="208"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EMPLOYEE STOCK OWNERSHIP PLAN</w:t>
      </w:r>
    </w:p>
    <w:p>
      <w:pPr>
        <w:spacing w:after="0" w:line="123" w:lineRule="exact"/>
        <w:rPr>
          <w:sz w:val="20"/>
          <w:szCs w:val="20"/>
          <w:color w:val="auto"/>
        </w:rPr>
      </w:pPr>
    </w:p>
    <w:p>
      <w:pPr>
        <w:ind w:left="8" w:right="480"/>
        <w:spacing w:after="0" w:line="235" w:lineRule="auto"/>
        <w:rPr>
          <w:sz w:val="20"/>
          <w:szCs w:val="20"/>
          <w:color w:val="auto"/>
        </w:rPr>
      </w:pPr>
      <w:r>
        <w:rPr>
          <w:rFonts w:ascii="Times New Roman" w:cs="Times New Roman" w:eastAsia="Times New Roman" w:hAnsi="Times New Roman"/>
          <w:sz w:val="12"/>
          <w:szCs w:val="12"/>
          <w:color w:val="auto"/>
        </w:rPr>
        <w:t>The Company amended and restated its Koss Employee Stock Ownership Trust (“KESOT”) effective July 1, 2023 and received approval from the Board of Directors on July 26, 2023. Substantially all domestic employees are participants in the KESOT under which an annual contribution in either cash or common stock may be made at the discretion of the Board of Directors. All contributions to date have been fully allocated to employees’ company contribution accounts. No contributions were made for the three or nine months ended March 31, 2024 or 2023, respectively.</w:t>
      </w:r>
    </w:p>
    <w:p>
      <w:pPr>
        <w:spacing w:after="0" w:line="108" w:lineRule="exact"/>
        <w:rPr>
          <w:sz w:val="20"/>
          <w:szCs w:val="20"/>
          <w:color w:val="auto"/>
        </w:rPr>
      </w:pPr>
    </w:p>
    <w:p>
      <w:pPr>
        <w:ind w:left="8"/>
        <w:spacing w:after="0"/>
        <w:tabs>
          <w:tab w:leader="none" w:pos="248" w:val="left"/>
        </w:tabs>
        <w:rPr>
          <w:sz w:val="20"/>
          <w:szCs w:val="20"/>
          <w:color w:val="auto"/>
        </w:rPr>
      </w:pPr>
      <w:r>
        <w:rPr>
          <w:rFonts w:ascii="Times New Roman" w:cs="Times New Roman" w:eastAsia="Times New Roman" w:hAnsi="Times New Roman"/>
          <w:sz w:val="12"/>
          <w:szCs w:val="12"/>
          <w:color w:val="auto"/>
        </w:rPr>
        <w:t>10.</w:t>
      </w:r>
      <w:r>
        <w:rPr>
          <w:sz w:val="20"/>
          <w:szCs w:val="20"/>
          <w:color w:val="auto"/>
        </w:rPr>
        <w:tab/>
      </w:r>
      <w:r>
        <w:rPr>
          <w:rFonts w:ascii="Times New Roman" w:cs="Times New Roman" w:eastAsia="Times New Roman" w:hAnsi="Times New Roman"/>
          <w:sz w:val="11"/>
          <w:szCs w:val="11"/>
          <w:color w:val="auto"/>
        </w:rPr>
        <w:t>STOCK-BASED COMPENSATION</w:t>
      </w:r>
    </w:p>
    <w:p>
      <w:pPr>
        <w:spacing w:after="0" w:line="123" w:lineRule="exact"/>
        <w:rPr>
          <w:sz w:val="20"/>
          <w:szCs w:val="20"/>
          <w:color w:val="auto"/>
        </w:rPr>
      </w:pPr>
    </w:p>
    <w:p>
      <w:pPr>
        <w:ind w:left="8" w:right="280"/>
        <w:spacing w:after="0" w:line="248" w:lineRule="auto"/>
        <w:rPr>
          <w:sz w:val="20"/>
          <w:szCs w:val="20"/>
          <w:color w:val="auto"/>
        </w:rPr>
      </w:pPr>
      <w:r>
        <w:rPr>
          <w:rFonts w:ascii="Times New Roman" w:cs="Times New Roman" w:eastAsia="Times New Roman" w:hAnsi="Times New Roman"/>
          <w:sz w:val="12"/>
          <w:szCs w:val="12"/>
          <w:color w:val="auto"/>
        </w:rPr>
        <w:t>In 2023, pursuant to the recommendation of the Board of Directors, the shareholders approved the creation of the Koss Corporation 2023 Equity Incentive Plan (the “2023 Plan”). Concurrently with the adoption of the new plan, the Koss Corporation 2012 Omnibus Incentive Plan (the “2012 Plan”) was terminated.</w:t>
      </w:r>
    </w:p>
    <w:p>
      <w:pPr>
        <w:spacing w:after="0" w:line="10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1"/>
          <w:szCs w:val="11"/>
          <w:color w:val="auto"/>
        </w:rPr>
        <w:t>The Compensation Committee of the Board of Directors administers the 2023 Plan and provides for the granting of various stock-based incentive awards to eligible participants, primarily officers and certain key employees of the Compa</w:t>
      </w:r>
    </w:p>
    <w:p>
      <w:pPr>
        <w:spacing w:after="0" w:line="135" w:lineRule="exact"/>
        <w:rPr>
          <w:sz w:val="20"/>
          <w:szCs w:val="20"/>
          <w:color w:val="auto"/>
        </w:rPr>
      </w:pPr>
    </w:p>
    <w:p>
      <w:pPr>
        <w:ind w:left="268" w:hanging="268"/>
        <w:spacing w:after="0"/>
        <w:tabs>
          <w:tab w:leader="none" w:pos="26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MATTERS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March 31, 2024, the Company is involved in the matters described below:</w:t>
      </w:r>
    </w:p>
    <w:p>
      <w:pPr>
        <w:spacing w:after="0" w:line="114" w:lineRule="exact"/>
        <w:rPr>
          <w:sz w:val="20"/>
          <w:szCs w:val="20"/>
          <w:color w:val="auto"/>
        </w:rPr>
      </w:pPr>
    </w:p>
    <w:p>
      <w:pPr>
        <w:ind w:left="428" w:right="40" w:hanging="212"/>
        <w:spacing w:after="0" w:line="233" w:lineRule="auto"/>
        <w:tabs>
          <w:tab w:leader="none" w:pos="42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maintains a program focused on enforcing its intellectual property and, in particular, certain patents in its patent portfolio. As part of this program, the Company filed complaints against certain parties alleging infringement on the Company’s patents relating to its wireless audio technology. In the event that a monetary award or judgment is received by the Company in connection with these complaints, all or portions of such amounts, such as contingent legal fees, will be due to third parties. The Company may incur additional fees and costs related to these lawsuits, however, timing and impact on its condensed financial statements is uncertain. Depending on the response to and the underlying results of the enforcement program, the Company may continue to litigate its claims, enter into licensing arrangements or reach some other outcome potentially advantageous to its competitive position. During the nine months ended March 31, 2023, in connection with its intellectual property enforcement program, the Company granted a license covering certain of its patents and recognized gross proceeds of $33,000,000, which was recorded as other income. Total legal fees and related expenses of $22,141,408 in the nine months ended March 31, 2023, respectively, offset these proceeds and were recorded as selling, general and administrative expense.</w:t>
      </w:r>
    </w:p>
    <w:p>
      <w:pPr>
        <w:spacing w:after="0" w:line="106" w:lineRule="exact"/>
        <w:rPr>
          <w:rFonts w:ascii="Times New Roman" w:cs="Times New Roman" w:eastAsia="Times New Roman" w:hAnsi="Times New Roman"/>
          <w:sz w:val="12"/>
          <w:szCs w:val="12"/>
          <w:color w:val="auto"/>
        </w:rPr>
      </w:pPr>
    </w:p>
    <w:p>
      <w:pPr>
        <w:ind w:left="428" w:right="180" w:hanging="212"/>
        <w:spacing w:after="0" w:line="235" w:lineRule="auto"/>
        <w:tabs>
          <w:tab w:leader="none" w:pos="428"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was notified by One-E-Way, Inc. that some of the Company's wireless products may infringe on certain One-E-Way patents. No lawsuits involving these allegations have yet been filed and served on the Company. The Company is currently investigating whether these allegations have any merit. Depending on the results of the investigation and the defense of these allegations, the ultimate resolution of this matter may have a material effect on the Company's condensed consolidated financial statements. The Company estimates that this matter will ultimately be resolved at a cost of approximately $41,000 and has accrued this amount as of March 31, 2024 and June 30, 2023.</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ultimate resolution of these matters is not determinable unless otherwise noted.</w:t>
      </w:r>
    </w:p>
    <w:p>
      <w:pPr>
        <w:spacing w:after="0" w:line="123" w:lineRule="exact"/>
        <w:rPr>
          <w:sz w:val="20"/>
          <w:szCs w:val="20"/>
          <w:color w:val="auto"/>
        </w:rPr>
      </w:pPr>
    </w:p>
    <w:p>
      <w:pPr>
        <w:ind w:left="8" w:right="140"/>
        <w:spacing w:after="0" w:line="241" w:lineRule="auto"/>
        <w:rPr>
          <w:sz w:val="20"/>
          <w:szCs w:val="20"/>
          <w:color w:val="auto"/>
        </w:rPr>
      </w:pPr>
      <w:r>
        <w:rPr>
          <w:rFonts w:ascii="Times New Roman" w:cs="Times New Roman" w:eastAsia="Times New Roman" w:hAnsi="Times New Roman"/>
          <w:sz w:val="12"/>
          <w:szCs w:val="12"/>
          <w:color w:val="auto"/>
        </w:rPr>
        <w:t>The Company is also subject to a variety of other claims and suits that arise from time to time in the ordinary course of its business. Although management currently believes that resolving these claims against the Company, individually or in the aggregate, will not have a material adverse impact on its condensed consolidated financial statements, these matters are subject to inherent uncertainties and management’s view of these matters may change in the future.</w:t>
      </w:r>
    </w:p>
    <w:p>
      <w:pPr>
        <w:spacing w:after="0" w:line="232"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215265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48"/>
          </w:cols>
          <w:pgMar w:left="292" w:top="120"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CAUTIONARY STATEMENT REGARDING FORWARD-LOOKING STATEMENTS</w:t>
      </w:r>
    </w:p>
    <w:p>
      <w:pPr>
        <w:spacing w:after="0" w:line="127"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2"/>
          <w:szCs w:val="12"/>
          <w:color w:val="auto"/>
        </w:rPr>
        <w:t>This Quarterly Report on Form 10-Q (“Form 10-Q”) contains forward-looking statements within the meaning of that term in the Private Securities Litigation Reform Act of 1995 (the “Act”) (Section 27A of the Securities Act of 1933 and Section 21E of the Securities Exchange Act of 1934). Additional written or oral forward-looking statements may be made by the Company from time to time in filings with the Securities Exchange Commission, press releases, or otherwise. Statements contained in this Form 10-Q that are not historical facts are forward-looking statements made pursuant to the safe harbor provisions of the Act. Forward-looking statements may include, but are not limited to, projections of revenue, income or loss and capital expenditures, statements regarding future operations, anticipated financing needs, compliance with financial covenants in loan agreements, plans for acquisitions or sales of assets or businesses, plans relating to products or services of the Company, assessments of materiality, predictions of future events, the effects of pending and possible litigation and assumptions relating to the foregoing. In addition, when used in this Form 10-Q, the words “aims,” “anticipates,” “believes,” “estimates,” “expects,” “intends,” “plans,” “thinks,” “may,” “will,” “shall,” “should,” “could,” “would,” “forecasts,” “predicts,” “potential,” “continue” and variations thereof and similar expressions are intended to identify forward-looking statements.</w:t>
      </w:r>
    </w:p>
    <w:p>
      <w:pPr>
        <w:spacing w:after="0" w:line="109" w:lineRule="exact"/>
        <w:rPr>
          <w:sz w:val="20"/>
          <w:szCs w:val="20"/>
          <w:color w:val="auto"/>
        </w:rPr>
      </w:pPr>
    </w:p>
    <w:p>
      <w:pPr>
        <w:spacing w:after="0" w:line="231" w:lineRule="auto"/>
        <w:rPr>
          <w:sz w:val="20"/>
          <w:szCs w:val="20"/>
          <w:color w:val="auto"/>
        </w:rPr>
      </w:pPr>
      <w:r>
        <w:rPr>
          <w:rFonts w:ascii="Times New Roman" w:cs="Times New Roman" w:eastAsia="Times New Roman" w:hAnsi="Times New Roman"/>
          <w:sz w:val="12"/>
          <w:szCs w:val="12"/>
          <w:color w:val="auto"/>
        </w:rPr>
        <w:t>Forward-looking statements are inherently subject to risks and uncertainties, some of which cannot be predicted or quantified based on current expectations. Consequently, future events and actual results could differ materially from those set forth in, contemplated by, or underlying the forward-looking statements contained in this Form 10-Q, or in other Company filings, press releases, or otherwise. In addition to the factors discussed in this Form 10-Q, other factors that could contribute to or cause such differences include, but are not limited to, developments in any one or more of the following areas: future fluctuations in economic conditions, increase in prices for raw materials, labor, and fuel caused by rising inflation, the receptivity of consumers to new consumer electronics technologies, the rate and consumer acceptance of new product introductions, competition, pricing, the number and nature of customers and their product orders, production by third party vendors, foreign manufacturing, sourcing, and sales (including foreign government regulation, trade and importation concerns), the effects of the COVID-19 or other pandemics on the economy, the impact of the Russian-Ukrainian conflict, the Israel-Hamas war, or other disruptive geopolitical events on the Company’s operations, borrowing costs and interest rates, changes in tax rates, pending or threatened litigation and investigations and their outcomes, and other risk factors described in the Risk Factors and in Management’s Discussion and Analysis of Financial Condition and Results of Operations sections of the Company’s Annual Report on Form 10-K for the fiscal year ended June 30, 2023 and subsequently filed Quarterly Reports on Form 10-Q.</w:t>
      </w:r>
    </w:p>
    <w:p>
      <w:pPr>
        <w:spacing w:after="0" w:line="107"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2"/>
          <w:szCs w:val="12"/>
          <w:color w:val="auto"/>
        </w:rPr>
        <w:t>Readers are cautioned not to place undue reliance on any forward-looking statements contained herein, which speak only as of the date hereof. The Company undertakes no obligation to publicly release the result of any revisions to these forward-looking statements that may be made to reflect events or circumstances after the date hereof or to reflect new information.</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209550</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45" w:lineRule="exact"/>
        <w:rPr>
          <w:sz w:val="20"/>
          <w:szCs w:val="20"/>
          <w:color w:val="auto"/>
        </w:rPr>
      </w:pPr>
    </w:p>
    <w:p>
      <w:pPr>
        <w:ind w:left="20"/>
        <w:spacing w:after="0"/>
        <w:tabs>
          <w:tab w:leader="none" w:pos="48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Management’s Discussion and Analysis of Financial Condition and Results of Operations</w:t>
      </w:r>
    </w:p>
    <w:p>
      <w:pPr>
        <w:spacing w:after="0" w:line="125"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12"/>
          <w:szCs w:val="12"/>
          <w:i w:val="1"/>
          <w:iCs w:val="1"/>
          <w:color w:val="auto"/>
        </w:rPr>
        <w:t>The following discussion and analysis supplements our management’s discussion and analysis for the year ended June 30, 2023 as contained in our Annual Report on Form 10-K filed with the Securities and Exchange Commission on August 25, 2023, and presumes that readers have read or have access to such discussion and analysis. The following discussion and analysis should also be read together with the unaudited consolidated financial statements and the related notes thereto included elsewhere in this Quarterly Report on Form 10-Q. This discussion contains forward-looking statements that reflect our plans and strategy for our business and involve risks and uncertainties. You should review the “Risk Factors” section of our Annual Report on Form 10-K for the fiscal year ended June 30, 2023, as updated by subsequent filings with the Securities and Exchange Commission, for a discussion of important factors that could cause actual results to differ materially from the results described in or implied by the forward-looking statements contained in the following discussion and analysis. You should carefully read “Cautionary Statement Regarding Forward-Looking Statements” in this Quarterly Report on Form 10-Q.</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27"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2"/>
          <w:szCs w:val="12"/>
          <w:color w:val="auto"/>
        </w:rPr>
        <w:t>The Company initially developed stereo headphones in 1958 and has been recognized as a leader in the industry ever since. Koss markets a complete line of high-fidelity headphones, wireless Bluetooth® headphones, wireless Bluetooth® speakers, computer headsets, telecommunications headsets, and active noise canceling headphones. The Company operates as one business segment, as its principal business line is the design, manufacture and sale of stereo headphones and related accessories.</w:t>
      </w:r>
    </w:p>
    <w:p>
      <w:pPr>
        <w:spacing w:after="0" w:line="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Financial Results</w:t>
      </w:r>
    </w:p>
    <w:p>
      <w:pPr>
        <w:sectPr>
          <w:pgSz w:w="11900" w:h="16838" w:orient="portrait"/>
          <w:cols w:equalWidth="0" w:num="1">
            <w:col w:w="11300"/>
          </w:cols>
          <w:pgMar w:left="300" w:top="120" w:right="299" w:bottom="1440" w:gutter="0" w:footer="0" w:header="0"/>
        </w:sectPr>
      </w:pP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The following table presents selected financial data for the three and nine months ended March 31, 2024 and 2023:</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Financial Performance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717804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85725"/>
                    </a:xfrm>
                    <a:prstGeom prst="rect">
                      <a:avLst/>
                    </a:prstGeom>
                    <a:noFill/>
                  </pic:spPr>
                </pic:pic>
              </a:graphicData>
            </a:graphic>
          </wp:anchor>
        </w:drawing>
      </w:r>
    </w:p>
    <w:p>
      <w:pPr>
        <w:spacing w:after="0"/>
        <w:tabs>
          <w:tab w:leader="none" w:pos="5360" w:val="left"/>
        </w:tabs>
        <w:rPr>
          <w:sz w:val="20"/>
          <w:szCs w:val="20"/>
          <w:color w:val="auto"/>
        </w:rPr>
      </w:pPr>
      <w:r>
        <w:rPr>
          <w:rFonts w:ascii="Times New Roman" w:cs="Times New Roman" w:eastAsia="Times New Roman" w:hAnsi="Times New Roman"/>
          <w:sz w:val="12"/>
          <w:szCs w:val="12"/>
          <w:color w:val="auto"/>
        </w:rPr>
        <w:t>Net sales</w:t>
      </w:r>
      <w:r>
        <w:rPr>
          <w:sz w:val="20"/>
          <w:szCs w:val="20"/>
          <w:color w:val="auto"/>
        </w:rPr>
        <w:tab/>
      </w:r>
      <w:r>
        <w:rPr>
          <w:rFonts w:ascii="Times New Roman" w:cs="Times New Roman" w:eastAsia="Times New Roman" w:hAnsi="Times New Roman"/>
          <w:sz w:val="12"/>
          <w:szCs w:val="12"/>
          <w:color w:val="auto"/>
        </w:rPr>
        <w:t>$</w:t>
      </w:r>
    </w:p>
    <w:p>
      <w:pPr>
        <w:spacing w:after="0" w:line="219" w:lineRule="auto"/>
        <w:rPr>
          <w:sz w:val="20"/>
          <w:szCs w:val="20"/>
          <w:color w:val="auto"/>
        </w:rPr>
      </w:pPr>
      <w:r>
        <w:rPr>
          <w:rFonts w:ascii="Times New Roman" w:cs="Times New Roman" w:eastAsia="Times New Roman" w:hAnsi="Times New Roman"/>
          <w:sz w:val="12"/>
          <w:szCs w:val="12"/>
          <w:color w:val="auto"/>
        </w:rPr>
        <w:t>Net sales (decrease) % from prior year period</w:t>
      </w:r>
    </w:p>
    <w:p>
      <w:pPr>
        <w:spacing w:after="0" w:line="219" w:lineRule="auto"/>
        <w:tabs>
          <w:tab w:leader="none" w:pos="5360" w:val="left"/>
        </w:tabs>
        <w:rPr>
          <w:sz w:val="20"/>
          <w:szCs w:val="20"/>
          <w:color w:val="auto"/>
        </w:rPr>
      </w:pPr>
      <w:r>
        <w:rPr>
          <w:rFonts w:ascii="Times New Roman" w:cs="Times New Roman" w:eastAsia="Times New Roman" w:hAnsi="Times New Roman"/>
          <w:sz w:val="12"/>
          <w:szCs w:val="12"/>
          <w:color w:val="auto"/>
        </w:rPr>
        <w:t>Gross profit</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178040" cy="800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80010"/>
                    </a:xfrm>
                    <a:prstGeom prst="rect">
                      <a:avLst/>
                    </a:prstGeom>
                    <a:noFill/>
                  </pic:spPr>
                </pic:pic>
              </a:graphicData>
            </a:graphic>
          </wp:anchor>
        </w:drawing>
      </w:r>
    </w:p>
    <w:p>
      <w:pPr>
        <w:spacing w:after="0" w:line="219" w:lineRule="auto"/>
        <w:rPr>
          <w:sz w:val="20"/>
          <w:szCs w:val="20"/>
          <w:color w:val="auto"/>
        </w:rPr>
      </w:pPr>
      <w:r>
        <w:rPr>
          <w:rFonts w:ascii="Times New Roman" w:cs="Times New Roman" w:eastAsia="Times New Roman" w:hAnsi="Times New Roman"/>
          <w:sz w:val="12"/>
          <w:szCs w:val="12"/>
          <w:color w:val="auto"/>
        </w:rPr>
        <w:t>Gross profit as % of net sales</w:t>
      </w:r>
    </w:p>
    <w:p>
      <w:pPr>
        <w:spacing w:after="0" w:line="219" w:lineRule="auto"/>
        <w:tabs>
          <w:tab w:leader="none" w:pos="5360" w:val="left"/>
        </w:tabs>
        <w:rPr>
          <w:sz w:val="20"/>
          <w:szCs w:val="20"/>
          <w:color w:val="auto"/>
        </w:rPr>
      </w:pPr>
      <w:r>
        <w:rPr>
          <w:rFonts w:ascii="Times New Roman" w:cs="Times New Roman" w:eastAsia="Times New Roman" w:hAnsi="Times New Roman"/>
          <w:sz w:val="12"/>
          <w:szCs w:val="12"/>
          <w:color w:val="auto"/>
        </w:rPr>
        <w:t>Selling, general and administrative expenses</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178040" cy="800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80010"/>
                    </a:xfrm>
                    <a:prstGeom prst="rect">
                      <a:avLst/>
                    </a:prstGeom>
                    <a:noFill/>
                  </pic:spPr>
                </pic:pic>
              </a:graphicData>
            </a:graphic>
          </wp:anchor>
        </w:drawing>
      </w:r>
    </w:p>
    <w:p>
      <w:pPr>
        <w:spacing w:after="0" w:line="219" w:lineRule="auto"/>
        <w:rPr>
          <w:sz w:val="20"/>
          <w:szCs w:val="20"/>
          <w:color w:val="auto"/>
        </w:rPr>
      </w:pPr>
      <w:r>
        <w:rPr>
          <w:rFonts w:ascii="Times New Roman" w:cs="Times New Roman" w:eastAsia="Times New Roman" w:hAnsi="Times New Roman"/>
          <w:sz w:val="12"/>
          <w:szCs w:val="12"/>
          <w:color w:val="auto"/>
        </w:rPr>
        <w:t>Selling, general and administrative expenses as % of net sales</w:t>
      </w:r>
    </w:p>
    <w:p>
      <w:pPr>
        <w:spacing w:after="0" w:line="219" w:lineRule="auto"/>
        <w:tabs>
          <w:tab w:leader="none" w:pos="5360" w:val="left"/>
        </w:tabs>
        <w:rPr>
          <w:sz w:val="20"/>
          <w:szCs w:val="20"/>
          <w:color w:val="auto"/>
        </w:rPr>
      </w:pPr>
      <w:r>
        <w:rPr>
          <w:rFonts w:ascii="Times New Roman" w:cs="Times New Roman" w:eastAsia="Times New Roman" w:hAnsi="Times New Roman"/>
          <w:sz w:val="12"/>
          <w:szCs w:val="12"/>
          <w:color w:val="auto"/>
        </w:rPr>
        <w:t>Interest income</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178040" cy="800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80010"/>
                    </a:xfrm>
                    <a:prstGeom prst="rect">
                      <a:avLst/>
                    </a:prstGeom>
                    <a:noFill/>
                  </pic:spPr>
                </pic:pic>
              </a:graphicData>
            </a:graphic>
          </wp:anchor>
        </w:drawing>
      </w:r>
    </w:p>
    <w:p>
      <w:pPr>
        <w:spacing w:after="0" w:line="220" w:lineRule="auto"/>
        <w:tabs>
          <w:tab w:leader="none" w:pos="5360" w:val="left"/>
        </w:tabs>
        <w:rPr>
          <w:sz w:val="20"/>
          <w:szCs w:val="20"/>
          <w:color w:val="auto"/>
        </w:rPr>
      </w:pPr>
      <w:r>
        <w:rPr>
          <w:rFonts w:ascii="Times New Roman" w:cs="Times New Roman" w:eastAsia="Times New Roman" w:hAnsi="Times New Roman"/>
          <w:sz w:val="12"/>
          <w:szCs w:val="12"/>
          <w:color w:val="auto"/>
        </w:rPr>
        <w:t>Other income</w:t>
      </w:r>
      <w:r>
        <w:rPr>
          <w:sz w:val="20"/>
          <w:szCs w:val="20"/>
          <w:color w:val="auto"/>
        </w:rPr>
        <w:tab/>
      </w:r>
      <w:r>
        <w:rPr>
          <w:rFonts w:ascii="Times New Roman" w:cs="Times New Roman" w:eastAsia="Times New Roman" w:hAnsi="Times New Roman"/>
          <w:sz w:val="12"/>
          <w:szCs w:val="12"/>
          <w:color w:val="auto"/>
        </w:rPr>
        <w:t>$</w:t>
      </w:r>
    </w:p>
    <w:p>
      <w:pPr>
        <w:spacing w:after="0" w:line="219" w:lineRule="auto"/>
        <w:tabs>
          <w:tab w:leader="none" w:pos="5360" w:val="left"/>
        </w:tabs>
        <w:rPr>
          <w:sz w:val="20"/>
          <w:szCs w:val="20"/>
          <w:color w:val="auto"/>
        </w:rPr>
      </w:pPr>
      <w:r>
        <w:rPr>
          <w:rFonts w:ascii="Times New Roman" w:cs="Times New Roman" w:eastAsia="Times New Roman" w:hAnsi="Times New Roman"/>
          <w:sz w:val="12"/>
          <w:szCs w:val="12"/>
          <w:color w:val="auto"/>
        </w:rPr>
        <w:t>(Loss) income before income tax provision (benefit)</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178040" cy="800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80010"/>
                    </a:xfrm>
                    <a:prstGeom prst="rect">
                      <a:avLst/>
                    </a:prstGeom>
                    <a:noFill/>
                  </pic:spPr>
                </pic:pic>
              </a:graphicData>
            </a:graphic>
          </wp:anchor>
        </w:drawing>
      </w:r>
    </w:p>
    <w:p>
      <w:pPr>
        <w:spacing w:after="0" w:line="219" w:lineRule="auto"/>
        <w:rPr>
          <w:sz w:val="20"/>
          <w:szCs w:val="20"/>
          <w:color w:val="auto"/>
        </w:rPr>
      </w:pPr>
      <w:r>
        <w:rPr>
          <w:rFonts w:ascii="Times New Roman" w:cs="Times New Roman" w:eastAsia="Times New Roman" w:hAnsi="Times New Roman"/>
          <w:sz w:val="12"/>
          <w:szCs w:val="12"/>
          <w:color w:val="auto"/>
        </w:rPr>
        <w:t>(Loss) income before income tax provision (benefit) as % of net sales</w:t>
      </w:r>
    </w:p>
    <w:p>
      <w:pPr>
        <w:spacing w:after="0" w:line="219" w:lineRule="auto"/>
        <w:tabs>
          <w:tab w:leader="none" w:pos="5360" w:val="left"/>
        </w:tabs>
        <w:rPr>
          <w:sz w:val="20"/>
          <w:szCs w:val="20"/>
          <w:color w:val="auto"/>
        </w:rPr>
      </w:pPr>
      <w:r>
        <w:rPr>
          <w:rFonts w:ascii="Times New Roman" w:cs="Times New Roman" w:eastAsia="Times New Roman" w:hAnsi="Times New Roman"/>
          <w:sz w:val="12"/>
          <w:szCs w:val="12"/>
          <w:color w:val="auto"/>
        </w:rPr>
        <w:t>Income tax provision (benefit)</w:t>
      </w:r>
      <w:r>
        <w:rPr>
          <w:sz w:val="20"/>
          <w:szCs w:val="20"/>
          <w:color w:val="auto"/>
        </w:rPr>
        <w:tab/>
      </w:r>
      <w:r>
        <w:rPr>
          <w:rFonts w:ascii="Times New Roman" w:cs="Times New Roman" w:eastAsia="Times New Roman" w:hAnsi="Times New Roman"/>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-74295</wp:posOffset>
            </wp:positionV>
            <wp:extent cx="7178040" cy="800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800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Income tax provision (benefit) as % of (loss) income before income tax provision (benefit)</w:t>
      </w:r>
    </w:p>
    <w:p>
      <w:pPr>
        <w:spacing w:after="0" w:line="20" w:lineRule="exact"/>
        <w:rPr>
          <w:sz w:val="20"/>
          <w:szCs w:val="20"/>
          <w:color w:val="auto"/>
        </w:rPr>
      </w:pPr>
      <w:r>
        <w:rPr>
          <w:sz w:val="20"/>
          <w:szCs w:val="20"/>
          <w:color w:val="auto"/>
        </w:rPr>
        <w:br w:type="column"/>
      </w:r>
    </w:p>
    <w:p>
      <w:pPr>
        <w:spacing w:after="0" w:line="3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3"/>
          </w:tcPr>
          <w:p>
            <w:pPr>
              <w:jc w:val="right"/>
              <w:ind w:right="6"/>
              <w:spacing w:after="0"/>
              <w:rPr>
                <w:sz w:val="20"/>
                <w:szCs w:val="20"/>
                <w:color w:val="auto"/>
              </w:rPr>
            </w:pPr>
            <w:r>
              <w:rPr>
                <w:rFonts w:ascii="Times New Roman" w:cs="Times New Roman" w:eastAsia="Times New Roman" w:hAnsi="Times New Roman"/>
                <w:sz w:val="12"/>
                <w:szCs w:val="12"/>
                <w:b w:val="1"/>
                <w:bCs w:val="1"/>
                <w:color w:val="auto"/>
              </w:rPr>
              <w:t>Nine Months Ended</w:t>
            </w:r>
          </w:p>
        </w:tc>
        <w:tc>
          <w:tcPr>
            <w:tcW w:w="860" w:type="dxa"/>
            <w:vAlign w:val="bottom"/>
          </w:tcPr>
          <w:p>
            <w:pPr>
              <w:spacing w:after="0"/>
              <w:rPr>
                <w:sz w:val="12"/>
                <w:szCs w:val="12"/>
                <w:color w:val="auto"/>
              </w:rPr>
            </w:pPr>
          </w:p>
        </w:tc>
      </w:tr>
      <w:tr>
        <w:trPr>
          <w:trHeight w:val="150"/>
        </w:trPr>
        <w:tc>
          <w:tcPr>
            <w:tcW w:w="1480" w:type="dxa"/>
            <w:vAlign w:val="bottom"/>
            <w:gridSpan w:val="2"/>
          </w:tcPr>
          <w:p>
            <w:pPr>
              <w:jc w:val="right"/>
              <w:ind w:right="286"/>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right"/>
              <w:ind w:right="266"/>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860" w:type="dxa"/>
            <w:vAlign w:val="bottom"/>
            <w:tcBorders>
              <w:bottom w:val="single" w:sz="8" w:color="auto"/>
            </w:tcBorders>
          </w:tcPr>
          <w:p>
            <w:pPr>
              <w:spacing w:after="0"/>
              <w:rPr>
                <w:sz w:val="13"/>
                <w:szCs w:val="13"/>
                <w:color w:val="auto"/>
              </w:rPr>
            </w:pPr>
          </w:p>
        </w:tc>
      </w:tr>
      <w:tr>
        <w:trPr>
          <w:trHeight w:val="115"/>
        </w:trPr>
        <w:tc>
          <w:tcPr>
            <w:tcW w:w="980" w:type="dxa"/>
            <w:vAlign w:val="bottom"/>
          </w:tcPr>
          <w:p>
            <w:pPr>
              <w:jc w:val="right"/>
              <w:ind w:right="680"/>
              <w:spacing w:after="0" w:line="115" w:lineRule="exact"/>
              <w:rPr>
                <w:sz w:val="20"/>
                <w:szCs w:val="20"/>
                <w:color w:val="auto"/>
              </w:rPr>
            </w:pPr>
            <w:r>
              <w:rPr>
                <w:rFonts w:ascii="Times New Roman" w:cs="Times New Roman" w:eastAsia="Times New Roman" w:hAnsi="Times New Roman"/>
                <w:sz w:val="12"/>
                <w:szCs w:val="12"/>
                <w:b w:val="1"/>
                <w:bCs w:val="1"/>
                <w:color w:val="auto"/>
                <w:w w:val="91"/>
              </w:rPr>
              <w:t>2024</w:t>
            </w:r>
          </w:p>
        </w:tc>
        <w:tc>
          <w:tcPr>
            <w:tcW w:w="5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0"/>
              <w:spacing w:after="0" w:line="115" w:lineRule="exact"/>
              <w:rPr>
                <w:sz w:val="20"/>
                <w:szCs w:val="20"/>
                <w:color w:val="auto"/>
              </w:rPr>
            </w:pPr>
            <w:r>
              <w:rPr>
                <w:rFonts w:ascii="Times New Roman" w:cs="Times New Roman" w:eastAsia="Times New Roman" w:hAnsi="Times New Roman"/>
                <w:sz w:val="12"/>
                <w:szCs w:val="12"/>
                <w:b w:val="1"/>
                <w:bCs w:val="1"/>
                <w:color w:val="auto"/>
              </w:rPr>
              <w:t>2023</w:t>
            </w:r>
          </w:p>
        </w:tc>
        <w:tc>
          <w:tcPr>
            <w:tcW w:w="1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right"/>
              <w:ind w:right="500"/>
              <w:spacing w:after="0" w:line="115" w:lineRule="exact"/>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500"/>
              <w:spacing w:after="0" w:line="115" w:lineRule="exact"/>
              <w:rPr>
                <w:sz w:val="20"/>
                <w:szCs w:val="20"/>
                <w:color w:val="auto"/>
              </w:rPr>
            </w:pPr>
            <w:r>
              <w:rPr>
                <w:rFonts w:ascii="Times New Roman" w:cs="Times New Roman" w:eastAsia="Times New Roman" w:hAnsi="Times New Roman"/>
                <w:sz w:val="12"/>
                <w:szCs w:val="12"/>
                <w:b w:val="1"/>
                <w:bCs w:val="1"/>
                <w:color w:val="auto"/>
              </w:rPr>
              <w:t>2023</w:t>
            </w:r>
          </w:p>
        </w:tc>
      </w:tr>
      <w:tr>
        <w:trPr>
          <w:trHeight w:val="95"/>
        </w:trPr>
        <w:tc>
          <w:tcPr>
            <w:tcW w:w="980" w:type="dxa"/>
            <w:vAlign w:val="bottom"/>
          </w:tcPr>
          <w:p>
            <w:pPr>
              <w:jc w:val="right"/>
              <w:ind w:right="160"/>
              <w:spacing w:after="0" w:line="95" w:lineRule="exact"/>
              <w:rPr>
                <w:sz w:val="20"/>
                <w:szCs w:val="20"/>
                <w:color w:val="auto"/>
              </w:rPr>
            </w:pPr>
            <w:r>
              <w:rPr>
                <w:rFonts w:ascii="Times New Roman" w:cs="Times New Roman" w:eastAsia="Times New Roman" w:hAnsi="Times New Roman"/>
                <w:sz w:val="11"/>
                <w:szCs w:val="11"/>
                <w:color w:val="auto"/>
              </w:rPr>
              <w:t>2,637,606</w:t>
            </w:r>
          </w:p>
        </w:tc>
        <w:tc>
          <w:tcPr>
            <w:tcW w:w="500" w:type="dxa"/>
            <w:vAlign w:val="bottom"/>
          </w:tcPr>
          <w:p>
            <w:pPr>
              <w:jc w:val="right"/>
              <w:ind w:right="386"/>
              <w:spacing w:after="0" w:line="9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11"/>
                <w:szCs w:val="11"/>
                <w:color w:val="auto"/>
              </w:rPr>
              <w:t>3,380,840</w:t>
            </w:r>
          </w:p>
        </w:tc>
        <w:tc>
          <w:tcPr>
            <w:tcW w:w="160" w:type="dxa"/>
            <w:vAlign w:val="bottom"/>
          </w:tcPr>
          <w:p>
            <w:pPr>
              <w:spacing w:after="0"/>
              <w:rPr>
                <w:sz w:val="8"/>
                <w:szCs w:val="8"/>
                <w:color w:val="auto"/>
              </w:rPr>
            </w:pPr>
          </w:p>
        </w:tc>
        <w:tc>
          <w:tcPr>
            <w:tcW w:w="320" w:type="dxa"/>
            <w:vAlign w:val="bottom"/>
          </w:tcPr>
          <w:p>
            <w:pPr>
              <w:jc w:val="right"/>
              <w:ind w:right="206"/>
              <w:spacing w:after="0" w:line="9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95" w:lineRule="exact"/>
              <w:rPr>
                <w:sz w:val="20"/>
                <w:szCs w:val="20"/>
                <w:color w:val="auto"/>
              </w:rPr>
            </w:pPr>
            <w:r>
              <w:rPr>
                <w:rFonts w:ascii="Times New Roman" w:cs="Times New Roman" w:eastAsia="Times New Roman" w:hAnsi="Times New Roman"/>
                <w:sz w:val="11"/>
                <w:szCs w:val="11"/>
                <w:color w:val="auto"/>
              </w:rPr>
              <w:t>9,371,668</w:t>
            </w:r>
          </w:p>
        </w:tc>
        <w:tc>
          <w:tcPr>
            <w:tcW w:w="160" w:type="dxa"/>
            <w:vAlign w:val="bottom"/>
          </w:tcPr>
          <w:p>
            <w:pPr>
              <w:spacing w:after="0"/>
              <w:rPr>
                <w:sz w:val="8"/>
                <w:szCs w:val="8"/>
                <w:color w:val="auto"/>
              </w:rPr>
            </w:pPr>
          </w:p>
        </w:tc>
        <w:tc>
          <w:tcPr>
            <w:tcW w:w="480" w:type="dxa"/>
            <w:vAlign w:val="bottom"/>
          </w:tcPr>
          <w:p>
            <w:pPr>
              <w:jc w:val="right"/>
              <w:ind w:right="366"/>
              <w:spacing w:after="0" w:line="95" w:lineRule="exact"/>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95" w:lineRule="exact"/>
              <w:rPr>
                <w:sz w:val="20"/>
                <w:szCs w:val="20"/>
                <w:color w:val="auto"/>
              </w:rPr>
            </w:pPr>
            <w:r>
              <w:rPr>
                <w:rFonts w:ascii="Times New Roman" w:cs="Times New Roman" w:eastAsia="Times New Roman" w:hAnsi="Times New Roman"/>
                <w:sz w:val="11"/>
                <w:szCs w:val="11"/>
                <w:color w:val="auto"/>
              </w:rPr>
              <w:t>10,026,301</w:t>
            </w:r>
          </w:p>
        </w:tc>
      </w:tr>
      <w:tr>
        <w:trPr>
          <w:trHeight w:val="126"/>
        </w:trPr>
        <w:tc>
          <w:tcPr>
            <w:tcW w:w="980" w:type="dxa"/>
            <w:vAlign w:val="bottom"/>
          </w:tcPr>
          <w:p>
            <w:pPr>
              <w:jc w:val="right"/>
              <w:ind w:right="100"/>
              <w:spacing w:after="0" w:line="126" w:lineRule="exact"/>
              <w:rPr>
                <w:sz w:val="20"/>
                <w:szCs w:val="20"/>
                <w:color w:val="auto"/>
              </w:rPr>
            </w:pPr>
            <w:r>
              <w:rPr>
                <w:rFonts w:ascii="Times New Roman" w:cs="Times New Roman" w:eastAsia="Times New Roman" w:hAnsi="Times New Roman"/>
                <w:sz w:val="12"/>
                <w:szCs w:val="12"/>
                <w:color w:val="auto"/>
              </w:rPr>
              <w:t>(22.0)%</w:t>
            </w:r>
          </w:p>
        </w:tc>
        <w:tc>
          <w:tcPr>
            <w:tcW w:w="500" w:type="dxa"/>
            <w:vAlign w:val="bottom"/>
          </w:tcPr>
          <w:p>
            <w:pPr>
              <w:spacing w:after="0"/>
              <w:rPr>
                <w:sz w:val="10"/>
                <w:szCs w:val="10"/>
                <w:color w:val="auto"/>
              </w:rPr>
            </w:pPr>
          </w:p>
        </w:tc>
        <w:tc>
          <w:tcPr>
            <w:tcW w:w="102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(27.1)%</w:t>
            </w:r>
          </w:p>
        </w:tc>
        <w:tc>
          <w:tcPr>
            <w:tcW w:w="320" w:type="dxa"/>
            <w:vAlign w:val="bottom"/>
          </w:tcPr>
          <w:p>
            <w:pPr>
              <w:spacing w:after="0"/>
              <w:rPr>
                <w:sz w:val="10"/>
                <w:szCs w:val="10"/>
                <w:color w:val="auto"/>
              </w:rPr>
            </w:pPr>
          </w:p>
        </w:tc>
        <w:tc>
          <w:tcPr>
            <w:tcW w:w="12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(6.5)%</w:t>
            </w:r>
          </w:p>
        </w:tc>
        <w:tc>
          <w:tcPr>
            <w:tcW w:w="48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(25.3)%</w:t>
            </w:r>
          </w:p>
        </w:tc>
      </w:tr>
      <w:tr>
        <w:trPr>
          <w:trHeight w:val="126"/>
        </w:trPr>
        <w:tc>
          <w:tcPr>
            <w:tcW w:w="980" w:type="dxa"/>
            <w:vAlign w:val="bottom"/>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841,523</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1,304,358</w:t>
            </w:r>
          </w:p>
        </w:tc>
        <w:tc>
          <w:tcPr>
            <w:tcW w:w="160" w:type="dxa"/>
            <w:vAlign w:val="bottom"/>
          </w:tcPr>
          <w:p>
            <w:pPr>
              <w:spacing w:after="0"/>
              <w:rPr>
                <w:sz w:val="10"/>
                <w:szCs w:val="10"/>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3,017,653</w:t>
            </w:r>
          </w:p>
        </w:tc>
        <w:tc>
          <w:tcPr>
            <w:tcW w:w="160" w:type="dxa"/>
            <w:vAlign w:val="bottom"/>
          </w:tcPr>
          <w:p>
            <w:pPr>
              <w:spacing w:after="0"/>
              <w:rPr>
                <w:sz w:val="10"/>
                <w:szCs w:val="10"/>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3,635,744</w:t>
            </w:r>
          </w:p>
        </w:tc>
      </w:tr>
      <w:tr>
        <w:trPr>
          <w:trHeight w:val="126"/>
        </w:trPr>
        <w:tc>
          <w:tcPr>
            <w:tcW w:w="980" w:type="dxa"/>
            <w:vAlign w:val="bottom"/>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31.9%</w:t>
            </w:r>
          </w:p>
        </w:tc>
        <w:tc>
          <w:tcPr>
            <w:tcW w:w="5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38.6%</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32.2%</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36.3%</w:t>
            </w:r>
          </w:p>
        </w:tc>
      </w:tr>
      <w:tr>
        <w:trPr>
          <w:trHeight w:val="126"/>
        </w:trPr>
        <w:tc>
          <w:tcPr>
            <w:tcW w:w="980" w:type="dxa"/>
            <w:vAlign w:val="bottom"/>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1,451,247</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1,749,341</w:t>
            </w:r>
          </w:p>
        </w:tc>
        <w:tc>
          <w:tcPr>
            <w:tcW w:w="160" w:type="dxa"/>
            <w:vAlign w:val="bottom"/>
          </w:tcPr>
          <w:p>
            <w:pPr>
              <w:spacing w:after="0"/>
              <w:rPr>
                <w:sz w:val="10"/>
                <w:szCs w:val="10"/>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4,572,049</w:t>
            </w:r>
          </w:p>
        </w:tc>
        <w:tc>
          <w:tcPr>
            <w:tcW w:w="160" w:type="dxa"/>
            <w:vAlign w:val="bottom"/>
          </w:tcPr>
          <w:p>
            <w:pPr>
              <w:spacing w:after="0"/>
              <w:rPr>
                <w:sz w:val="10"/>
                <w:szCs w:val="10"/>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27,907,246</w:t>
            </w:r>
          </w:p>
        </w:tc>
      </w:tr>
      <w:tr>
        <w:trPr>
          <w:trHeight w:val="126"/>
        </w:trPr>
        <w:tc>
          <w:tcPr>
            <w:tcW w:w="980" w:type="dxa"/>
            <w:vAlign w:val="bottom"/>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55.0%</w:t>
            </w:r>
          </w:p>
        </w:tc>
        <w:tc>
          <w:tcPr>
            <w:tcW w:w="50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51.7%</w:t>
            </w: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48.8%</w:t>
            </w: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278.3%</w:t>
            </w:r>
          </w:p>
        </w:tc>
      </w:tr>
      <w:tr>
        <w:trPr>
          <w:trHeight w:val="126"/>
        </w:trPr>
        <w:tc>
          <w:tcPr>
            <w:tcW w:w="980" w:type="dxa"/>
            <w:vAlign w:val="bottom"/>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214,814</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189,593</w:t>
            </w:r>
          </w:p>
        </w:tc>
        <w:tc>
          <w:tcPr>
            <w:tcW w:w="160" w:type="dxa"/>
            <w:vAlign w:val="bottom"/>
          </w:tcPr>
          <w:p>
            <w:pPr>
              <w:spacing w:after="0"/>
              <w:rPr>
                <w:sz w:val="10"/>
                <w:szCs w:val="10"/>
                <w:color w:val="auto"/>
              </w:rPr>
            </w:pP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636,482</w:t>
            </w:r>
          </w:p>
        </w:tc>
        <w:tc>
          <w:tcPr>
            <w:tcW w:w="160" w:type="dxa"/>
            <w:vAlign w:val="bottom"/>
          </w:tcPr>
          <w:p>
            <w:pPr>
              <w:spacing w:after="0"/>
              <w:rPr>
                <w:sz w:val="10"/>
                <w:szCs w:val="10"/>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314,482</w:t>
            </w:r>
          </w:p>
        </w:tc>
      </w:tr>
      <w:tr>
        <w:trPr>
          <w:trHeight w:val="126"/>
        </w:trPr>
        <w:tc>
          <w:tcPr>
            <w:tcW w:w="980" w:type="dxa"/>
            <w:vAlign w:val="bottom"/>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200"/>
              <w:spacing w:after="0" w:line="126" w:lineRule="exact"/>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33,000,000</w:t>
            </w:r>
          </w:p>
        </w:tc>
      </w:tr>
      <w:tr>
        <w:trPr>
          <w:trHeight w:val="126"/>
        </w:trPr>
        <w:tc>
          <w:tcPr>
            <w:tcW w:w="980" w:type="dxa"/>
            <w:vAlign w:val="bottom"/>
          </w:tcPr>
          <w:p>
            <w:pPr>
              <w:jc w:val="right"/>
              <w:ind w:right="100"/>
              <w:spacing w:after="0" w:line="126" w:lineRule="exact"/>
              <w:rPr>
                <w:sz w:val="20"/>
                <w:szCs w:val="20"/>
                <w:color w:val="auto"/>
              </w:rPr>
            </w:pPr>
            <w:r>
              <w:rPr>
                <w:rFonts w:ascii="Times New Roman" w:cs="Times New Roman" w:eastAsia="Times New Roman" w:hAnsi="Times New Roman"/>
                <w:sz w:val="12"/>
                <w:szCs w:val="12"/>
                <w:color w:val="auto"/>
              </w:rPr>
              <w:t>(394,910)</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(255,390)</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(917,914)</w:t>
            </w: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9,042,980</w:t>
            </w:r>
          </w:p>
        </w:tc>
      </w:tr>
      <w:tr>
        <w:trPr>
          <w:trHeight w:val="126"/>
        </w:trPr>
        <w:tc>
          <w:tcPr>
            <w:tcW w:w="980" w:type="dxa"/>
            <w:vAlign w:val="bottom"/>
          </w:tcPr>
          <w:p>
            <w:pPr>
              <w:jc w:val="right"/>
              <w:ind w:right="100"/>
              <w:spacing w:after="0" w:line="126" w:lineRule="exact"/>
              <w:rPr>
                <w:sz w:val="20"/>
                <w:szCs w:val="20"/>
                <w:color w:val="auto"/>
              </w:rPr>
            </w:pPr>
            <w:r>
              <w:rPr>
                <w:rFonts w:ascii="Times New Roman" w:cs="Times New Roman" w:eastAsia="Times New Roman" w:hAnsi="Times New Roman"/>
                <w:sz w:val="12"/>
                <w:szCs w:val="12"/>
                <w:color w:val="auto"/>
              </w:rPr>
              <w:t>(15.0)%</w:t>
            </w:r>
          </w:p>
        </w:tc>
        <w:tc>
          <w:tcPr>
            <w:tcW w:w="500" w:type="dxa"/>
            <w:vAlign w:val="bottom"/>
          </w:tcPr>
          <w:p>
            <w:pPr>
              <w:spacing w:after="0"/>
              <w:rPr>
                <w:sz w:val="10"/>
                <w:szCs w:val="10"/>
                <w:color w:val="auto"/>
              </w:rPr>
            </w:pPr>
          </w:p>
        </w:tc>
        <w:tc>
          <w:tcPr>
            <w:tcW w:w="102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(7.6)%</w:t>
            </w:r>
          </w:p>
        </w:tc>
        <w:tc>
          <w:tcPr>
            <w:tcW w:w="320" w:type="dxa"/>
            <w:vAlign w:val="bottom"/>
          </w:tcPr>
          <w:p>
            <w:pPr>
              <w:spacing w:after="0"/>
              <w:rPr>
                <w:sz w:val="10"/>
                <w:szCs w:val="10"/>
                <w:color w:val="auto"/>
              </w:rPr>
            </w:pPr>
          </w:p>
        </w:tc>
        <w:tc>
          <w:tcPr>
            <w:tcW w:w="12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(9.8)%</w:t>
            </w:r>
          </w:p>
        </w:tc>
        <w:tc>
          <w:tcPr>
            <w:tcW w:w="480" w:type="dxa"/>
            <w:vAlign w:val="bottom"/>
          </w:tcPr>
          <w:p>
            <w:pPr>
              <w:spacing w:after="0"/>
              <w:rPr>
                <w:sz w:val="10"/>
                <w:szCs w:val="10"/>
                <w:color w:val="auto"/>
              </w:rPr>
            </w:pP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90.2%</w:t>
            </w:r>
          </w:p>
        </w:tc>
      </w:tr>
      <w:tr>
        <w:trPr>
          <w:trHeight w:val="126"/>
        </w:trPr>
        <w:tc>
          <w:tcPr>
            <w:tcW w:w="980" w:type="dxa"/>
            <w:vAlign w:val="bottom"/>
          </w:tcPr>
          <w:p>
            <w:pPr>
              <w:jc w:val="right"/>
              <w:ind w:right="100"/>
              <w:spacing w:after="0" w:line="126" w:lineRule="exact"/>
              <w:rPr>
                <w:sz w:val="20"/>
                <w:szCs w:val="20"/>
                <w:color w:val="auto"/>
              </w:rPr>
            </w:pPr>
            <w:r>
              <w:rPr>
                <w:rFonts w:ascii="Times New Roman" w:cs="Times New Roman" w:eastAsia="Times New Roman" w:hAnsi="Times New Roman"/>
                <w:sz w:val="12"/>
                <w:szCs w:val="12"/>
                <w:color w:val="auto"/>
              </w:rPr>
              <w:t>(81,130)</w:t>
            </w:r>
          </w:p>
        </w:tc>
        <w:tc>
          <w:tcPr>
            <w:tcW w:w="500" w:type="dxa"/>
            <w:vAlign w:val="bottom"/>
          </w:tcPr>
          <w:p>
            <w:pPr>
              <w:jc w:val="right"/>
              <w:ind w:right="38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2"/>
                <w:szCs w:val="12"/>
                <w:color w:val="auto"/>
              </w:rPr>
              <w:t>(30,910)</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2"/>
                <w:szCs w:val="12"/>
                <w:color w:val="auto"/>
              </w:rPr>
              <w:t>(77,372)</w:t>
            </w: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463,928</w:t>
            </w:r>
          </w:p>
        </w:tc>
      </w:tr>
      <w:tr>
        <w:trPr>
          <w:trHeight w:val="155"/>
        </w:trPr>
        <w:tc>
          <w:tcPr>
            <w:tcW w:w="9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20.5%</w:t>
            </w:r>
          </w:p>
        </w:tc>
        <w:tc>
          <w:tcPr>
            <w:tcW w:w="5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w:t>
            </w: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8.4%</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wp:posOffset>
            </wp:positionH>
            <wp:positionV relativeFrom="paragraph">
              <wp:posOffset>-1056640</wp:posOffset>
            </wp:positionV>
            <wp:extent cx="185166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5166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420"/>
            <w:col w:w="5360"/>
          </w:cols>
          <w:pgMar w:left="300" w:top="120" w:right="299" w:bottom="1440" w:gutter="0" w:footer="0" w:header="0"/>
          <w:type w:val="continuous"/>
        </w:sectPr>
      </w:pPr>
    </w:p>
    <w:p>
      <w:pPr>
        <w:spacing w:after="0" w:line="2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4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Fiscal 2024 Period Results Compared with Fiscal 2023 Period</w:t>
      </w:r>
    </w:p>
    <w:p>
      <w:pPr>
        <w:spacing w:after="0" w:line="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i w:val="1"/>
          <w:iCs w:val="1"/>
          <w:color w:val="auto"/>
        </w:rPr>
        <w:t>(comments refer to the three and nine-month periods ended March 31 unless otherwise noted)</w:t>
      </w:r>
    </w:p>
    <w:p>
      <w:pPr>
        <w:spacing w:after="0" w:line="102"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12"/>
          <w:szCs w:val="12"/>
          <w:color w:val="auto"/>
        </w:rPr>
        <w:t>Net sales for the three months ended March 31, 2024 were $2,638,000 compared to $3,381,000 for the same three-month period in the prior year, a decrease of $743,000, or 22.0%. A reduction in sales to a significant customer in the educational space, due to timing of a recurring order versus the prior year, was the most significant contribution to the decline, coupled with a meaningful drop in direct-to-consumer (“DTC”) sales and sales to our largest domestic distributors. For the nine months ended March 31, 2024, sales of $9,372,000 were also unfavorable compared to $10,026,000 of sales for the first three quarters of the prior fiscal year with the driver being the nearly 30% fall in DTC sales followed by declines in all export market sales and sales to domestic distributors. The decreases were offset somewhat by increased sales of custom headphones.</w:t>
      </w:r>
    </w:p>
    <w:p>
      <w:pPr>
        <w:spacing w:after="0" w:line="9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In the domestic markets, net sales of $2,056,000 for the three months ended March 31, 2024 reflected a decrease of $673,000, or 24.6%, when compared to sales of $2,729,000 for the three months ended March 31, 2023. The decrease was driven by the timing of the order from the education customer as noted above along with the step back in DTC sales and sales to domestic distributors. During the nine months ended March 31, 2024, domestic sales were off by $294,000, or 3.9%, versus sales to the domestic markets during the same period in the prior year. Nearly half of the 27.0% decline in DTC sales, plus the nearly 10% decline in sales to domestic distributors, were offset by sales of custom headphones to a new customer and an over 50% increase in sales to e-tailers.</w:t>
      </w:r>
    </w:p>
    <w:p>
      <w:pPr>
        <w:spacing w:after="0" w:line="10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The export markets saw a slight decline in sales to our Europe and Asia partners for the three months ended March 31, 2024 compared to the same period in the prior year. Total export sales for the third quarter of fiscal year 2024 were $582,000 in comparison with sales of $652,000 in the third quarter of fiscal year 2023, a decrease of $70,000, or 10.7%. Sales for the nine months ended March 31, 2024 were down $361,000, or 15.0%, to $2,045,000 versus sales of $2,406,000 to the export markets during the same nine-month period in the prior year, most significantly in the European market. The current quarter did, however, include a rather sizable restock order from a distributor in Eastern Europe, along with smaller orders from a new customer in the region. There have been no sales to our Russian distributor since April 2022.</w:t>
      </w:r>
    </w:p>
    <w:p>
      <w:pPr>
        <w:spacing w:after="0" w:line="108"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Gross margins as a percentage of net sales for the three months ended March 31, 2024 were 31.9% as compared to 38.6% for the three months ended March 31, 2023, a drop of 670 basis points. While the mix of sales by market class was fairly consistent year over year and there was some favorability as a result of a decrease in the excess and obsolete inventory reserve, the adverse impact on margin from the continued sell through of Company inventory brought in from suppliers at higher freight rates, coupled with the increase in online marketplace seller fees due to some targeted marketing programs, drove the decline. Gross margin as a percentage of sales for the nine months ended March 31, 2024 was 32.2% compared with 36.3.% for the same nine months in the prior year. The 410 basis points drop in the current period’s margins was primarily driven by the aforementioned sell-through combined with an increase in the reserve for excess and obsolete inventory.</w:t>
      </w:r>
    </w:p>
    <w:p>
      <w:pPr>
        <w:spacing w:after="0" w:line="107" w:lineRule="exact"/>
        <w:rPr>
          <w:sz w:val="20"/>
          <w:szCs w:val="20"/>
          <w:color w:val="auto"/>
        </w:rPr>
      </w:pPr>
    </w:p>
    <w:p>
      <w:pPr>
        <w:ind w:right="80"/>
        <w:spacing w:after="0" w:line="235" w:lineRule="auto"/>
        <w:rPr>
          <w:sz w:val="20"/>
          <w:szCs w:val="20"/>
          <w:color w:val="auto"/>
        </w:rPr>
      </w:pPr>
      <w:r>
        <w:rPr>
          <w:rFonts w:ascii="Times New Roman" w:cs="Times New Roman" w:eastAsia="Times New Roman" w:hAnsi="Times New Roman"/>
          <w:sz w:val="12"/>
          <w:szCs w:val="12"/>
          <w:color w:val="auto"/>
        </w:rPr>
        <w:t>The Company was able to preserve consistent freight rates through the quarter ended March 31, 2024, as the Company’s partnership with a dedicated freight forwarder provided access to lower fixed freight rates. Market rates and transit times continue to stabilize as carriers have adjusted to ongoing environmental and geopolitical issues in the Panama and Suez Canals. The market remains oversupplied but will become more vulnerable to disruption as the year progresses and lower demand due to declining consumer confidence and rising prices could result in overcapacity in the market. The Company continues to monitor the ongoing tension in Eastern Europe and the Middle East and is prepared to react as necessary if faced with supply chain disruptions. While the Red Sea shipping crisis is disrupting global supply chains, the Company rarely utilizes this route so no adverse impacts are expected.</w:t>
      </w:r>
    </w:p>
    <w:p>
      <w:pPr>
        <w:spacing w:after="0" w:line="108" w:lineRule="exact"/>
        <w:rPr>
          <w:sz w:val="20"/>
          <w:szCs w:val="20"/>
          <w:color w:val="auto"/>
        </w:rPr>
      </w:pPr>
    </w:p>
    <w:p>
      <w:pPr>
        <w:spacing w:after="0" w:line="230" w:lineRule="auto"/>
        <w:rPr>
          <w:sz w:val="20"/>
          <w:szCs w:val="20"/>
          <w:color w:val="auto"/>
        </w:rPr>
      </w:pPr>
      <w:r>
        <w:rPr>
          <w:rFonts w:ascii="Times New Roman" w:cs="Times New Roman" w:eastAsia="Times New Roman" w:hAnsi="Times New Roman"/>
          <w:sz w:val="12"/>
          <w:szCs w:val="12"/>
          <w:color w:val="auto"/>
        </w:rPr>
        <w:t>Selling, general and administrative expenses were $1,451,000 for the three months ended March 31, 2024, a decrease of $298,000, or 17.0%, compared to the same three months in the prior year. The decrease in the quarter was driven by a number of reasons: 1) personnel departures for which work was reallocated with no replacement hired, 2) a reduction in bad debt expense as a result of continued strong collections and low past due accounts, 3) a decrease in deferred compensation expense driven by lower discount rates used to calculate the deferred compensation liability in the prior year, and 4) a reduction in stock based compensation expense as options became fully vested. For the nine months ended March 31, 2024, selling, general and administrative expenses of $4,572,000 were reduced by $23,335,000 from $27,907,000 of expenses incurred for the nine months ended March 31, 2023. The decrease was predominantly driven by the $22,141,000 of legal fees and related expenses incurred during the prior nine-month period in support of the Company’s patent defense litigation. Also, expenses related to bonus and profit-sharing accruals of $381,000 and $576,000, respectively, were recorded during the nine months ended March 31, 2023 as a result of the increased net income before income taxes due to the licensing proceeds received in that year. A decrease in payroll expense as a result of personnel departures in the prior fiscal year, coupled with a reduction in stock based compensation expense as options became fully vested, also contributed to the decline.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 other income was recorded for the three and nine months ended March 31, 2024. Other income for the nine months in the prior period consisted entirely of $33,000,000 in licensing proceeds received during the first quarter.</w:t>
      </w:r>
    </w:p>
    <w:p>
      <w:pPr>
        <w:spacing w:after="0" w:line="114"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12"/>
          <w:szCs w:val="12"/>
          <w:color w:val="auto"/>
        </w:rPr>
        <w:t>As a result of a taxable loss for the three- and nine-month periods ended March 31, 2024, no federal income tax expense was recorded. Instead, a federal income tax benefit of $82,653 was recorded for both periods as a result of the RTP adjustment recorded during the</w:t>
      </w:r>
    </w:p>
    <w:p>
      <w:pPr>
        <w:jc w:val="center"/>
        <w:ind w:right="-59"/>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207645</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20"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23" w:lineRule="exact"/>
        <w:rPr>
          <w:sz w:val="20"/>
          <w:szCs w:val="20"/>
          <w:color w:val="auto"/>
        </w:rPr>
      </w:pPr>
    </w:p>
    <w:p>
      <w:pPr>
        <w:jc w:val="both"/>
        <w:ind w:right="120"/>
        <w:spacing w:after="0" w:line="235" w:lineRule="auto"/>
        <w:rPr>
          <w:sz w:val="20"/>
          <w:szCs w:val="20"/>
          <w:color w:val="auto"/>
        </w:rPr>
      </w:pPr>
      <w:r>
        <w:rPr>
          <w:rFonts w:ascii="Times New Roman" w:cs="Times New Roman" w:eastAsia="Times New Roman" w:hAnsi="Times New Roman"/>
          <w:sz w:val="12"/>
          <w:szCs w:val="12"/>
          <w:color w:val="auto"/>
        </w:rPr>
        <w:t>third quarter of fiscal 2024. State income tax expense of $1,522 and $5,281 was recorded for the three and nine months ended March 31, 2024, respectively, reflecting the minimum required tax due. For the nine months ended March 31, 2023, the utilization of net operating loss carryforwards significantly reduced the taxable income for that period, resulting in federal and state tax provisions of $374,714 and $89,214, respectively. The effective tax rate was 20.5% and 8.4%, respectively, in the three and nine months ended March 31, 2024 and was 12.1% and 5.1%, respectively, for those same periods in the prior year. It is anticipated that the effective rate in the current year and future years will be reduced by utilization of a portion or all of the federal net operating loss carryforwards that existed as of June 30, 2023.</w:t>
      </w:r>
    </w:p>
    <w:p>
      <w:pPr>
        <w:spacing w:after="0" w:line="108"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12"/>
          <w:szCs w:val="12"/>
          <w:color w:val="auto"/>
        </w:rPr>
        <w:t>The Company’s remaining expected federal tax loss carryforward is expected to approximate $32,800,000 by the end of the fiscal year. The taxable loss for the first nine months of fiscal year 2024 increased the net operating loss carryforward deferred tax asset to approximately $8,500,000 as of March 31, 2024, and the future realization of this continues to be uncertain. The valuation allowance was increased to fully offset the net deferred tax asset as there is sufficient negative evidence to support the maintaining of a full valuation allowance as, excluding unusual, infrequent items, a three-year cumulative tax loss occurred.</w:t>
      </w:r>
    </w:p>
    <w:p>
      <w:pPr>
        <w:spacing w:after="0" w:line="9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2"/>
          <w:szCs w:val="12"/>
          <w:color w:val="auto"/>
        </w:rPr>
        <w:t>As previously mentioned, the Company maintains a program focused on enforcing its intellectual property and, in particular, certain of its patent portfolio. The Company has enforced its intellectual property by filing complaints against certain parties alleging infringement on the Company’s patents relating to its wireless headphone technology. If efforts are successful, the Company may receive royalties, offers to purchase its intellectual property, or other remedies advantageous to its competitive position from time to time. However, there is no guarantee of a positive outcome from these efforts in the future, which could ultimately be time-consuming and unsuccessful. Additionally, the Company may owe all or a portion of any future proceeds arising from the enforcement program to third parties.</w:t>
      </w:r>
    </w:p>
    <w:p>
      <w:pPr>
        <w:spacing w:after="0" w:line="108" w:lineRule="exact"/>
        <w:rPr>
          <w:sz w:val="20"/>
          <w:szCs w:val="20"/>
          <w:color w:val="auto"/>
        </w:rPr>
      </w:pPr>
    </w:p>
    <w:p>
      <w:pPr>
        <w:jc w:val="center"/>
        <w:ind w:right="240"/>
        <w:spacing w:after="0" w:line="453" w:lineRule="auto"/>
        <w:rPr>
          <w:sz w:val="20"/>
          <w:szCs w:val="20"/>
          <w:color w:val="auto"/>
        </w:rPr>
      </w:pPr>
      <w:r>
        <w:rPr>
          <w:rFonts w:ascii="Times New Roman" w:cs="Times New Roman" w:eastAsia="Times New Roman" w:hAnsi="Times New Roman"/>
          <w:sz w:val="12"/>
          <w:szCs w:val="12"/>
          <w:color w:val="auto"/>
        </w:rPr>
        <w:t xml:space="preserve">The Company believes that its financial position remains strong. The Company had $2.9 million of cash and cash equivalents, $7.0 million of short-term investments and available credit facilities of $5.0 million on March 31, 2024. </w:t>
      </w:r>
      <w:r>
        <w:rPr>
          <w:rFonts w:ascii="Times New Roman" w:cs="Times New Roman" w:eastAsia="Times New Roman" w:hAnsi="Times New Roman"/>
          <w:sz w:val="12"/>
          <w:szCs w:val="12"/>
          <w:b w:val="1"/>
          <w:bCs w:val="1"/>
          <w:color w:val="auto"/>
        </w:rPr>
        <w:t>Recent Events</w:t>
      </w:r>
    </w:p>
    <w:p>
      <w:pPr>
        <w:spacing w:after="0" w:line="1"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12"/>
          <w:szCs w:val="12"/>
          <w:color w:val="auto"/>
        </w:rPr>
        <w:t>Recent and ongoing macroeconomic and geopolitical conditions have impacted, and will continue to impact, our business. These include economic uncertainty from elevated inflation and interest rates, reduced consumer confidence, disruption in our supply chain and trade tensions with China, the ongoing crises in Eastern Europe, the ongoing instability in the Middle East and increased risk of cyberattacks.</w:t>
      </w:r>
    </w:p>
    <w:p>
      <w:pPr>
        <w:spacing w:after="0" w:line="102" w:lineRule="exact"/>
        <w:rPr>
          <w:sz w:val="20"/>
          <w:szCs w:val="20"/>
          <w:color w:val="auto"/>
        </w:rPr>
      </w:pPr>
    </w:p>
    <w:p>
      <w:pPr>
        <w:ind w:right="160"/>
        <w:spacing w:after="0" w:line="248" w:lineRule="auto"/>
        <w:rPr>
          <w:sz w:val="20"/>
          <w:szCs w:val="20"/>
          <w:color w:val="auto"/>
        </w:rPr>
      </w:pPr>
      <w:r>
        <w:rPr>
          <w:rFonts w:ascii="Times New Roman" w:cs="Times New Roman" w:eastAsia="Times New Roman" w:hAnsi="Times New Roman"/>
          <w:sz w:val="12"/>
          <w:szCs w:val="12"/>
          <w:color w:val="auto"/>
        </w:rPr>
        <w:t>While the impact of these factors on our fiscal 2024 performance remains uncertain, we will continue to evaluate the extent to which these factors will impact our business, financial condition, or results of operations. These and other uncertainties with respect to these recent events could result in changes to our current expectations.</w:t>
      </w:r>
    </w:p>
    <w:p>
      <w:pPr>
        <w:spacing w:after="0" w:line="145"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2"/>
          <w:szCs w:val="12"/>
          <w:i w:val="1"/>
          <w:iCs w:val="1"/>
          <w:color w:val="auto"/>
        </w:rPr>
        <w:t xml:space="preserve">Inflationary Cost Environment and Reduced Consumer Confidence - </w:t>
      </w:r>
      <w:r>
        <w:rPr>
          <w:rFonts w:ascii="Times New Roman" w:cs="Times New Roman" w:eastAsia="Times New Roman" w:hAnsi="Times New Roman"/>
          <w:sz w:val="12"/>
          <w:szCs w:val="12"/>
          <w:color w:val="auto"/>
        </w:rPr>
        <w:t>The Company continues to experience inflationary cost increases in our commodities, packaging materials, wages and higher energy and transportation costs,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potentially impacting our ability to meet customer demand. These increases have been partially mitigated by pricing actions implemented in the third quarter of the prior fiscal year, as well as working with a dedicated freight forwarding partner to minimize freight rate increases. Inflation may impact customer demand for our products resulting from a slowdown in consumers’ willingness to spend as disposable income decreases due to rising prices of essential items, spend through of excess savings from earlier in the pandemic and leading indicators pointing to a softening in the labor market. Other risk factors further exacerbated by inflation include supply chain disruptions, increased oil and energy costs, risks of international operations and the recruitment and retention of talent.</w:t>
      </w:r>
    </w:p>
    <w:p>
      <w:pPr>
        <w:spacing w:after="0" w:line="105"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2"/>
          <w:szCs w:val="12"/>
          <w:i w:val="1"/>
          <w:iCs w:val="1"/>
          <w:color w:val="auto"/>
        </w:rPr>
        <w:t xml:space="preserve">Supply Chain Disruption and Trade Tensions with China - </w:t>
      </w:r>
      <w:r>
        <w:rPr>
          <w:rFonts w:ascii="Times New Roman" w:cs="Times New Roman" w:eastAsia="Times New Roman" w:hAnsi="Times New Roman"/>
          <w:sz w:val="12"/>
          <w:szCs w:val="12"/>
          <w:color w:val="auto"/>
        </w:rPr>
        <w:t>The Company relies on our third-party supply chain and distribution networks and the availability of necessary components to produce a considerable number of our products.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 reduction or interruption in supply, including interruptions due to a reoccurrence of the COVID-19 pandemic, geopolitical unrest, labor shortages or strikes, or a failure to procure adequate components, may lead to delays in manufacturing or increases in costs.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49" w:lineRule="exact"/>
        <w:rPr>
          <w:sz w:val="20"/>
          <w:szCs w:val="20"/>
          <w:color w:val="auto"/>
        </w:rPr>
      </w:pPr>
    </w:p>
    <w:p>
      <w:pPr>
        <w:jc w:val="both"/>
        <w:ind w:right="100"/>
        <w:spacing w:after="0" w:line="232" w:lineRule="auto"/>
        <w:rPr>
          <w:sz w:val="20"/>
          <w:szCs w:val="20"/>
          <w:color w:val="auto"/>
        </w:rPr>
      </w:pPr>
      <w:r>
        <w:rPr>
          <w:rFonts w:ascii="Times New Roman" w:cs="Times New Roman" w:eastAsia="Times New Roman" w:hAnsi="Times New Roman"/>
          <w:sz w:val="12"/>
          <w:szCs w:val="12"/>
          <w:color w:val="auto"/>
        </w:rPr>
        <w:t>The Company uses contract manufacturing facilities in the People’s Republic of China and Taiwan to produce a significant amount of our products. There has been increasing geopolitical tension between China and Taiwan that may affect future shipments from Taiwan and China-based suppliers. Any other adverse changes in the social, political, regulatory or economic conditions in the countries could materially increase the cost of the products we buy or delay shipments. There has also been increasing geopolitical tension between China and the United States. Sustained uncertainty about, or worsening of, economic relations and further escalation of trade tensions between the United States and China, or any other country in which the Company conducts business, could result in retaliatory trade restrictions that restrict our ability to source products from China or continue business in such other country. Any alterations to our business strategy or operations made in order to adapt to or comply with any such changes would be time-consuming and expensive, and the Company may not be able to pass along most increases in tariffs and freight charges to the Company’s customers, which would also directly affect profits.</w:t>
      </w:r>
    </w:p>
    <w:p>
      <w:pPr>
        <w:spacing w:after="0" w:line="109" w:lineRule="exact"/>
        <w:rPr>
          <w:sz w:val="20"/>
          <w:szCs w:val="20"/>
          <w:color w:val="auto"/>
        </w:rPr>
      </w:pPr>
    </w:p>
    <w:p>
      <w:pPr>
        <w:jc w:val="both"/>
        <w:ind w:right="60"/>
        <w:spacing w:after="0" w:line="241" w:lineRule="auto"/>
        <w:rPr>
          <w:sz w:val="20"/>
          <w:szCs w:val="20"/>
          <w:color w:val="auto"/>
        </w:rPr>
      </w:pPr>
      <w:r>
        <w:rPr>
          <w:rFonts w:ascii="Times New Roman" w:cs="Times New Roman" w:eastAsia="Times New Roman" w:hAnsi="Times New Roman"/>
          <w:sz w:val="12"/>
          <w:szCs w:val="12"/>
          <w:color w:val="auto"/>
        </w:rPr>
        <w:t>Our dependence on foreign suppliers for our products necessitates ordering products further in advance than we would if manufactured domestically, thus increasing investments in inventory. Delays in receiving and shipping products due to interruptions in its supply chain would pose a risk of lower sales to the Company and the potential for price volatility, negatively impacting profits. Recovery of a single facility through replacement of a supplier in the event of a disaster or suspension of supply could take an estimated six to twelve months.</w:t>
      </w:r>
    </w:p>
    <w:p>
      <w:pPr>
        <w:spacing w:after="0" w:line="9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12"/>
          <w:szCs w:val="12"/>
          <w:color w:val="auto"/>
        </w:rPr>
        <w:t>On July 25, 2023, United Parcel Service (“UPS”) and the International Brotherhood of Teamsters Union reached a tentative five-year contract deal that averted a nationwide strike. Also, in December 2022, the U.S. government abated a threatened railroad strike and implemented a labor agreement that prohibited the workers from striking and negotiations continue between union leaders and railroad executives of each of the remaining railroads. While Yellow freight lines announced their insolvency earlier in the year, the Company has had no material direct exposure to Yellow. The Company continues to monitor these situations as the changes in the current labor landscape, the settlement of recent labor disputes, coupled with rising energy prices, could potentially exacerbate disruptions in the supply chain, delay product shipments and increase transportation costs.</w:t>
      </w:r>
    </w:p>
    <w:p>
      <w:pPr>
        <w:spacing w:after="0" w:line="14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2"/>
          <w:szCs w:val="12"/>
          <w:i w:val="1"/>
          <w:iCs w:val="1"/>
          <w:color w:val="auto"/>
        </w:rPr>
        <w:t xml:space="preserve">Russia’s Invasion of Ukraine - </w:t>
      </w:r>
      <w:r>
        <w:rPr>
          <w:rFonts w:ascii="Times New Roman" w:cs="Times New Roman" w:eastAsia="Times New Roman" w:hAnsi="Times New Roman"/>
          <w:sz w:val="12"/>
          <w:szCs w:val="12"/>
          <w:color w:val="auto"/>
        </w:rPr>
        <w:t>Financial and credit markets around the world experienced volatility following the invasion of Ukraine by Russia in February 2022. In response to the invasion, the United States, United Kingdom,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European Union, along with others, imposed significant sanctions and export controls against Russia, Russian banks and certain Russian individuals and may implement additional sanctions or take further punitive actions in the future. In accordance with Executive Order 14071 signed on April 6, 2022, the Company suspended sales to Russia. While there is a humanitarian crisis in Ukraine created by the war and the population continues to seek refuge in other countries, the Company did receive a sizable order from their Ukrainian distributor in the first quarter of fiscal year 2024 with potential for another before the end of this fiscal year. During the three and nine months ended March 31, 2024 and 2023, there were no sales to Russia.</w:t>
      </w:r>
    </w:p>
    <w:p>
      <w:pPr>
        <w:spacing w:after="0" w:line="105" w:lineRule="exact"/>
        <w:rPr>
          <w:sz w:val="20"/>
          <w:szCs w:val="20"/>
          <w:color w:val="auto"/>
        </w:rPr>
      </w:pPr>
    </w:p>
    <w:p>
      <w:pPr>
        <w:ind w:right="140"/>
        <w:spacing w:after="0" w:line="231" w:lineRule="auto"/>
        <w:rPr>
          <w:sz w:val="20"/>
          <w:szCs w:val="20"/>
          <w:color w:val="auto"/>
        </w:rPr>
      </w:pPr>
      <w:r>
        <w:rPr>
          <w:rFonts w:ascii="Times New Roman" w:cs="Times New Roman" w:eastAsia="Times New Roman" w:hAnsi="Times New Roman"/>
          <w:sz w:val="12"/>
          <w:szCs w:val="12"/>
          <w:i w:val="1"/>
          <w:iCs w:val="1"/>
          <w:color w:val="auto"/>
        </w:rPr>
        <w:t xml:space="preserve">Cyberattacks - </w:t>
      </w:r>
      <w:r>
        <w:rPr>
          <w:rFonts w:ascii="Times New Roman" w:cs="Times New Roman" w:eastAsia="Times New Roman" w:hAnsi="Times New Roman"/>
          <w:sz w:val="12"/>
          <w:szCs w:val="12"/>
          <w:color w:val="auto"/>
        </w:rPr>
        <w:t>Cyberattacks are a growing geopolitical risk, becoming larger, more frequent, more intricate and more relentless. They are a significant threat to individual organizations and national security</w:t>
      </w:r>
      <w:r>
        <w:rPr>
          <w:rFonts w:ascii="Arial" w:cs="Arial" w:eastAsia="Arial" w:hAnsi="Arial"/>
          <w:sz w:val="12"/>
          <w:szCs w:val="12"/>
          <w:color w:val="auto"/>
        </w:rPr>
        <w: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We rely on accounting,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financial, and operational management information systems to conduct our operations. Any disruption in these systems could adversely affect our ability to conduct our business. Furthermore, as part of our normal business activities, we collect and store common confidential information about customers, employees, vendors, and suppliers. This information is entitled to protection under a number of regulatory regimes. Any failure to maintain the security of the data, including the penetration of our network security and the misappropriation of confidential and personal information, could result in business disruption, damage to our reputation, financial obligations to third parties, fines, penalties, regulatory proceedings and private litigation with potentially large costs, and also result in deterioration in customers confidence in us and other competitive disadvantages, and thus could have a material adverse impact on our financial condition and results of operations. While we devote resources to security measures to protect our systems and data, these measures cannot provide absolute security and the insurance coverage we maintain may be inadequate to cover claims, costs, and liabilities relating to cybersecurity incidents.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38"/>
        </w:trPr>
        <w:tc>
          <w:tcPr>
            <w:tcW w:w="798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394"/>
        </w:trPr>
        <w:tc>
          <w:tcPr>
            <w:tcW w:w="840" w:type="dxa"/>
            <w:vAlign w:val="bottom"/>
            <w:tcBorders>
              <w:top w:val="single" w:sz="8" w:color="0000FF"/>
            </w:tcBorders>
          </w:tcPr>
          <w:p>
            <w:pPr>
              <w:spacing w:after="0"/>
              <w:rPr>
                <w:sz w:val="24"/>
                <w:szCs w:val="24"/>
                <w:color w:val="auto"/>
              </w:rPr>
            </w:pPr>
          </w:p>
        </w:tc>
        <w:tc>
          <w:tcPr>
            <w:tcW w:w="7140" w:type="dxa"/>
            <w:vAlign w:val="bottom"/>
          </w:tcPr>
          <w:p>
            <w:pPr>
              <w:ind w:left="3980"/>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1"/>
        </w:trPr>
        <w:tc>
          <w:tcPr>
            <w:tcW w:w="79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i w:val="1"/>
                <w:iCs w:val="1"/>
                <w:color w:val="auto"/>
              </w:rPr>
              <w:t>Cash Flows</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61"/>
        </w:trPr>
        <w:tc>
          <w:tcPr>
            <w:tcW w:w="79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table summarizes cash flows from operating, investing and financing activities for the nine months ended March 31, 2024 and 2023:</w:t>
            </w: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97"/>
        </w:trPr>
        <w:tc>
          <w:tcPr>
            <w:tcW w:w="7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Total cash (used in) provided by:</w:t>
            </w:r>
          </w:p>
        </w:tc>
        <w:tc>
          <w:tcPr>
            <w:tcW w:w="3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15"/>
        </w:trPr>
        <w:tc>
          <w:tcPr>
            <w:tcW w:w="7980" w:type="dxa"/>
            <w:vAlign w:val="bottom"/>
            <w:gridSpan w:val="2"/>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Operating activities</w:t>
            </w:r>
          </w:p>
        </w:tc>
        <w:tc>
          <w:tcPr>
            <w:tcW w:w="360" w:type="dxa"/>
            <w:vAlign w:val="bottom"/>
            <w:shd w:val="clear" w:color="auto" w:fill="CCEEFF"/>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(16,558)</w:t>
            </w:r>
          </w:p>
        </w:tc>
        <w:tc>
          <w:tcPr>
            <w:tcW w:w="180" w:type="dxa"/>
            <w:vAlign w:val="bottom"/>
            <w:shd w:val="clear" w:color="auto" w:fill="CCEEFF"/>
          </w:tcPr>
          <w:p>
            <w:pPr>
              <w:spacing w:after="0"/>
              <w:rPr>
                <w:sz w:val="10"/>
                <w:szCs w:val="10"/>
                <w:color w:val="auto"/>
              </w:rPr>
            </w:pPr>
          </w:p>
        </w:tc>
        <w:tc>
          <w:tcPr>
            <w:tcW w:w="360" w:type="dxa"/>
            <w:vAlign w:val="bottom"/>
            <w:shd w:val="clear" w:color="auto" w:fill="CCEEFF"/>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10,616,726</w:t>
            </w:r>
          </w:p>
        </w:tc>
      </w:tr>
      <w:tr>
        <w:trPr>
          <w:trHeight w:val="126"/>
        </w:trPr>
        <w:tc>
          <w:tcPr>
            <w:tcW w:w="798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Investing activities</w:t>
            </w:r>
          </w:p>
        </w:tc>
        <w:tc>
          <w:tcPr>
            <w:tcW w:w="360" w:type="dxa"/>
            <w:vAlign w:val="bottom"/>
          </w:tcPr>
          <w:p>
            <w:pPr>
              <w:spacing w:after="0"/>
              <w:rPr>
                <w:sz w:val="10"/>
                <w:szCs w:val="10"/>
                <w:color w:val="auto"/>
              </w:rPr>
            </w:pPr>
          </w:p>
        </w:tc>
        <w:tc>
          <w:tcPr>
            <w:tcW w:w="138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2"/>
                <w:szCs w:val="12"/>
                <w:color w:val="auto"/>
              </w:rPr>
              <w:t>(197,625)</w:t>
            </w:r>
          </w:p>
        </w:tc>
        <w:tc>
          <w:tcPr>
            <w:tcW w:w="360" w:type="dxa"/>
            <w:vAlign w:val="bottom"/>
          </w:tcPr>
          <w:p>
            <w:pPr>
              <w:spacing w:after="0"/>
              <w:rPr>
                <w:sz w:val="10"/>
                <w:szCs w:val="10"/>
                <w:color w:val="auto"/>
              </w:rPr>
            </w:pPr>
          </w:p>
        </w:tc>
        <w:tc>
          <w:tcPr>
            <w:tcW w:w="122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(17,040,594)</w:t>
            </w:r>
          </w:p>
        </w:tc>
      </w:tr>
      <w:tr>
        <w:trPr>
          <w:trHeight w:val="126"/>
        </w:trPr>
        <w:tc>
          <w:tcPr>
            <w:tcW w:w="798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Financing activities</w:t>
            </w:r>
          </w:p>
        </w:tc>
        <w:tc>
          <w:tcPr>
            <w:tcW w:w="360" w:type="dxa"/>
            <w:vAlign w:val="bottom"/>
            <w:tcBorders>
              <w:bottom w:val="single" w:sz="8" w:color="auto"/>
            </w:tcBorders>
            <w:shd w:val="clear" w:color="auto" w:fill="CCEEFF"/>
          </w:tcPr>
          <w:p>
            <w:pPr>
              <w:spacing w:after="0"/>
              <w:rPr>
                <w:sz w:val="10"/>
                <w:szCs w:val="10"/>
                <w:color w:val="auto"/>
              </w:rPr>
            </w:pPr>
          </w:p>
        </w:tc>
        <w:tc>
          <w:tcPr>
            <w:tcW w:w="120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35,800</w:t>
            </w:r>
          </w:p>
        </w:tc>
        <w:tc>
          <w:tcPr>
            <w:tcW w:w="180" w:type="dxa"/>
            <w:vAlign w:val="bottom"/>
            <w:shd w:val="clear" w:color="auto" w:fill="CCEEFF"/>
          </w:tcPr>
          <w:p>
            <w:pPr>
              <w:spacing w:after="0"/>
              <w:rPr>
                <w:sz w:val="10"/>
                <w:szCs w:val="10"/>
                <w:color w:val="auto"/>
              </w:rPr>
            </w:pPr>
          </w:p>
        </w:tc>
        <w:tc>
          <w:tcPr>
            <w:tcW w:w="36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137,330</w:t>
            </w:r>
          </w:p>
        </w:tc>
      </w:tr>
      <w:tr>
        <w:trPr>
          <w:trHeight w:val="122"/>
        </w:trPr>
        <w:tc>
          <w:tcPr>
            <w:tcW w:w="7980" w:type="dxa"/>
            <w:vAlign w:val="bottom"/>
            <w:gridSpan w:val="2"/>
          </w:tcPr>
          <w:p>
            <w:pPr>
              <w:ind w:left="60"/>
              <w:spacing w:after="0" w:line="115" w:lineRule="exact"/>
              <w:rPr>
                <w:sz w:val="20"/>
                <w:szCs w:val="20"/>
                <w:color w:val="auto"/>
              </w:rPr>
            </w:pPr>
            <w:r>
              <w:rPr>
                <w:rFonts w:ascii="Times New Roman" w:cs="Times New Roman" w:eastAsia="Times New Roman" w:hAnsi="Times New Roman"/>
                <w:sz w:val="12"/>
                <w:szCs w:val="12"/>
                <w:color w:val="auto"/>
              </w:rPr>
              <w:t>Net (decrease) in cash and cash equivalents</w:t>
            </w:r>
          </w:p>
        </w:tc>
        <w:tc>
          <w:tcPr>
            <w:tcW w:w="360" w:type="dxa"/>
            <w:vAlign w:val="bottom"/>
            <w:tcBorders>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(178,383)</w:t>
            </w:r>
          </w:p>
        </w:tc>
        <w:tc>
          <w:tcPr>
            <w:tcW w:w="180" w:type="dxa"/>
            <w:vAlign w:val="bottom"/>
          </w:tcPr>
          <w:p>
            <w:pPr>
              <w:spacing w:after="0"/>
              <w:rPr>
                <w:sz w:val="10"/>
                <w:szCs w:val="10"/>
                <w:color w:val="auto"/>
              </w:rPr>
            </w:pPr>
          </w:p>
        </w:tc>
        <w:tc>
          <w:tcPr>
            <w:tcW w:w="360" w:type="dxa"/>
            <w:vAlign w:val="bottom"/>
            <w:tcBorders>
              <w:bottom w:val="single" w:sz="8" w:color="auto"/>
            </w:tcBorders>
          </w:tcPr>
          <w:p>
            <w:pPr>
              <w:jc w:val="right"/>
              <w:ind w:right="24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line="115" w:lineRule="exact"/>
              <w:rPr>
                <w:sz w:val="20"/>
                <w:szCs w:val="20"/>
                <w:color w:val="auto"/>
              </w:rPr>
            </w:pPr>
            <w:r>
              <w:rPr>
                <w:rFonts w:ascii="Times New Roman" w:cs="Times New Roman" w:eastAsia="Times New Roman" w:hAnsi="Times New Roman"/>
                <w:sz w:val="12"/>
                <w:szCs w:val="12"/>
                <w:color w:val="auto"/>
              </w:rPr>
              <w:t>(6,286,538)</w:t>
            </w: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Activities</w:t>
      </w:r>
    </w:p>
    <w:p>
      <w:pPr>
        <w:spacing w:after="0" w:line="127"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2"/>
          <w:szCs w:val="12"/>
          <w:color w:val="auto"/>
        </w:rPr>
        <w:t>The cash used in operating activities during the nine months ending March 31, 2024, was primarily a result of the payment of bonuses earned in the prior year mostly offset by improvements in cash flow related to working capital, namely the reduction of inventory levels. During the nine months ended March 31, 2023, the majority of the cash provided by operating activities resulted from the licensing proceeds received, partially offset by the payment of related legal fees and expenses and profit sharing.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Investing Activities</w:t>
      </w:r>
    </w:p>
    <w:p>
      <w:pPr>
        <w:spacing w:after="0" w:line="118"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12"/>
          <w:szCs w:val="12"/>
          <w:color w:val="auto"/>
        </w:rPr>
        <w:t>Cash used by investing activities for the nine months ended March 31, 2024 was related to fixed asset expenditures, predominantly the replacement of a roof section of the building for approximately $300,000, and the payment of the premiums on the company-owned life insurance policies on two of its executives. Proceeds of $14,331,000 were received during the nine months ended March 31, 2024 from the maturity of U.S. Treasury securities and were mostly reinvested to purchase $14,286,000 of similar securities at a $300,000 discount. Cash used by investing activities for the nine months ended March 31, 2023 was almost entirely related to the purchase of $17,334,000 of U.S. Treasury securities at a discount of $450,000. The Company believes that its available cash and its credit facility is sufficient to fund any necessary tooling, leasehold improvement and capital expenditures.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Financing Activities</w:t>
      </w:r>
    </w:p>
    <w:p>
      <w:pPr>
        <w:spacing w:after="0" w:line="12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2"/>
          <w:szCs w:val="12"/>
          <w:color w:val="auto"/>
        </w:rPr>
        <w:t>Cash from the exercise of stock options during the nine months ended March 31, 2024 and 2023 provided the cash from financing activities. An aggregate of 20,000 and 69,000 shares of common stock, respectively, were issued as a result of employee stock option exercises under the Company’s 2012 Omnibus Incentive Plan for those periods.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March 31, 2024, the Company had no outstanding borrowings on its bank line of credit facility.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purchases of common stock in the three and nine months ended March 31, 2024 or March 31, 2023 under the stock repurchase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Liquidity</w:t>
      </w:r>
    </w:p>
    <w:p>
      <w:pPr>
        <w:spacing w:after="0" w:line="12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The Company believes its existing cash and cash equivalents, investments in short-term U.S. Treasury securities, cash provided by operating activities and borrowings under its credit facility, if any, will be sufficient to meet its anticipated working capital, and capital expenditure requirements during the next twelve months. There can be no assurance, however, that the Company’s business will continue to generate cash flow at current levels. If the Company is unable to generate sufficient cash flow from operations, then it may be required to sell assets, reduce capital expenditures, or draw on its credit facilities. The Company regularly evaluates new product offerings, inventory levels and capital expenditures to ensure that it is effectively allocating resources in line with current market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Credit Facility</w:t>
      </w:r>
    </w:p>
    <w:p>
      <w:pPr>
        <w:spacing w:after="0" w:line="118"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1"/>
          <w:szCs w:val="11"/>
          <w:color w:val="auto"/>
        </w:rPr>
        <w:t>On May 14, 2019, the Company entered into a secured credit facility (“Credit Agreement”) with Town Bank (“Lender”). The Credit Agreement provides for a $5,000,000 revolving secured credit facility for letters of credit for the benefit of the Company of up to a sublimit of $1,000,000. There are no unused line fees in the credit facility. On January 28, 2021, the Credit Agreement was amended to extend the expiration date to October 31, 2022, and to change the interest rate to Wall Street Journal Prime less 1.50%. A Third Amendment to the Credit Agreement effective October 30, 2022, extended the expiration date to October 31, 2024. The Company and the Lender also entered into a General Business Security Agreement dated May 14, 2019 under which the Company granted the Lender a security interest in substantially all of the Company’s assets in connection with the Company’s obligations under the Credit</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207645</wp:posOffset>
            </wp:positionV>
            <wp:extent cx="7203440"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0"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123" w:lineRule="exact"/>
        <w:rPr>
          <w:sz w:val="20"/>
          <w:szCs w:val="20"/>
          <w:color w:val="auto"/>
        </w:rPr>
      </w:pPr>
    </w:p>
    <w:p>
      <w:pPr>
        <w:ind w:right="260"/>
        <w:spacing w:after="0" w:line="241" w:lineRule="auto"/>
        <w:rPr>
          <w:sz w:val="20"/>
          <w:szCs w:val="20"/>
          <w:color w:val="auto"/>
        </w:rPr>
      </w:pPr>
      <w:r>
        <w:rPr>
          <w:rFonts w:ascii="Times New Roman" w:cs="Times New Roman" w:eastAsia="Times New Roman" w:hAnsi="Times New Roman"/>
          <w:sz w:val="12"/>
          <w:szCs w:val="12"/>
          <w:color w:val="auto"/>
        </w:rPr>
        <w:t>Agreement. The Credit Agreement contains certain affirmative and negative covenants customary for financings of this type. The negative covenants include restrictions on other indebtedness, liens, fundamental changes, certain investments, disposition of assets, mergers and liquidations, among other restrictions. As of March 31, 2024, the Company was in compliance with all covenants related to the Credit Agreement. As of March 31, 2024 and June 30, 2023, there were no outstanding borrowings on the facility.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Contractual Obligation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leases its 126,000 square foot facility from Koss Holdings, LLC, which is controlled by five equal ownership interests in trusts held by the five beneficiaries of a former chairman’s revocable trust and includes current</w:t>
      </w:r>
    </w:p>
    <w:p>
      <w:pPr>
        <w:spacing w:after="0" w:line="234" w:lineRule="auto"/>
        <w:rPr>
          <w:sz w:val="20"/>
          <w:szCs w:val="20"/>
          <w:color w:val="auto"/>
        </w:rPr>
      </w:pPr>
      <w:r>
        <w:rPr>
          <w:rFonts w:ascii="Times New Roman" w:cs="Times New Roman" w:eastAsia="Times New Roman" w:hAnsi="Times New Roman"/>
          <w:sz w:val="12"/>
          <w:szCs w:val="12"/>
          <w:color w:val="auto"/>
        </w:rPr>
        <w:t>stockholders of the Company. On May 24, 2022, the lease was renewed for a period of five years, ending June 30, 2028, and is being accounted for as an operating lease. The lease extension maintained the rent at a fixed rate of</w:t>
      </w:r>
    </w:p>
    <w:p>
      <w:pPr>
        <w:spacing w:after="0"/>
        <w:rPr>
          <w:sz w:val="20"/>
          <w:szCs w:val="20"/>
          <w:color w:val="auto"/>
        </w:rPr>
      </w:pPr>
      <w:r>
        <w:rPr>
          <w:rFonts w:ascii="Times New Roman" w:cs="Times New Roman" w:eastAsia="Times New Roman" w:hAnsi="Times New Roman"/>
          <w:sz w:val="11"/>
          <w:szCs w:val="11"/>
          <w:color w:val="auto"/>
        </w:rPr>
        <w:t>$380,000 per year. The Company has the option to renew the lease for an additional five years beginning July 1, 2028 and ending June 30, 2033 under the same terms and conditions except that the annual rent will increase to $397,000.</w:t>
      </w:r>
    </w:p>
    <w:p>
      <w:pPr>
        <w:spacing w:after="0" w:line="234" w:lineRule="auto"/>
        <w:rPr>
          <w:sz w:val="20"/>
          <w:szCs w:val="20"/>
          <w:color w:val="auto"/>
        </w:rPr>
      </w:pPr>
      <w:r>
        <w:rPr>
          <w:rFonts w:ascii="Times New Roman" w:cs="Times New Roman" w:eastAsia="Times New Roman" w:hAnsi="Times New Roman"/>
          <w:sz w:val="12"/>
          <w:szCs w:val="12"/>
          <w:color w:val="auto"/>
        </w:rPr>
        <w:t>The negotiated increase in rent slated for 2028 will be the first increase in rent since 1996. The Company is responsible for all property maintenance, insurance, taxes and other normal expenses related to ownership. The facility is in</w:t>
      </w:r>
    </w:p>
    <w:p>
      <w:pPr>
        <w:spacing w:after="0"/>
        <w:rPr>
          <w:sz w:val="20"/>
          <w:szCs w:val="20"/>
          <w:color w:val="auto"/>
        </w:rPr>
      </w:pPr>
      <w:r>
        <w:rPr>
          <w:rFonts w:ascii="Times New Roman" w:cs="Times New Roman" w:eastAsia="Times New Roman" w:hAnsi="Times New Roman"/>
          <w:sz w:val="12"/>
          <w:szCs w:val="12"/>
          <w:color w:val="auto"/>
        </w:rPr>
        <w:t>good repair and, in the opinion of management, is suitable and adequate for the Company’s business purposes.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Off-Balance Sheet Transactions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March 31, 2024, the Company did not have any transactions, obligations or relationships that could be considered off-balance sheet arrangements.</w:t>
      </w:r>
    </w:p>
    <w:p>
      <w:pPr>
        <w:spacing w:after="0" w:line="3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2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45"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119"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Disclosure Controls and Procedures</w:t>
      </w:r>
    </w:p>
    <w:p>
      <w:pPr>
        <w:spacing w:after="0" w:line="118"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12"/>
          <w:szCs w:val="12"/>
          <w:color w:val="auto"/>
        </w:rPr>
        <w:t>Disclosure controls and procedures (as defined in Rules 13a-15(e) and 15d-15(e)) of the Securities Exchange Act of 1934, as amended (the “Exchange Act”) are designed to ensure that: (1) information required to be disclosed in reports filed or submitted under the Exchange Act is recorded, processed, summarized and reported within the time periods specified in SEC rules and forms; and (2) such information is accumulated and communicated to management, including the principal executive officer and principal financial officer, as appropriate to allow timely decisions regarding required disclosures. There are inherent limitations to the effectiveness of any system of disclosure controls and procedures, including the possibility of human error and the circumvention or overriding of controls and procedures. Accordingly, even effective disclosure controls and procedures can only provide reasonable assurance of achieving their control objectives.</w:t>
      </w:r>
    </w:p>
    <w:p>
      <w:pPr>
        <w:spacing w:after="0" w:line="107" w:lineRule="exact"/>
        <w:rPr>
          <w:sz w:val="20"/>
          <w:szCs w:val="20"/>
          <w:color w:val="auto"/>
        </w:rPr>
      </w:pPr>
    </w:p>
    <w:p>
      <w:pPr>
        <w:jc w:val="both"/>
        <w:ind w:right="140"/>
        <w:spacing w:after="0" w:line="235" w:lineRule="auto"/>
        <w:rPr>
          <w:sz w:val="20"/>
          <w:szCs w:val="20"/>
          <w:color w:val="auto"/>
        </w:rPr>
      </w:pPr>
      <w:r>
        <w:rPr>
          <w:rFonts w:ascii="Times New Roman" w:cs="Times New Roman" w:eastAsia="Times New Roman" w:hAnsi="Times New Roman"/>
          <w:sz w:val="12"/>
          <w:szCs w:val="12"/>
          <w:color w:val="auto"/>
        </w:rPr>
        <w:t>The Company’s management, including the Company’s Chief Executive Officer and Chief Financial Officer, evaluated the effectiveness of the design and operation of the Company’s disclosure controls and procedures (as defined in Rules 13a-15(e) and 15d-15(e) under the Exchange Act) as of March 31, 2024. The Company’s Chief Executive Officer and Chief Financial Officer have concluded that the Company’s disclosure controls and procedures as of March 31, 2024 were effective.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Changes in Internal Control Over Financial Reporting</w:t>
      </w:r>
    </w:p>
    <w:p>
      <w:pPr>
        <w:spacing w:after="0" w:line="127" w:lineRule="exact"/>
        <w:rPr>
          <w:sz w:val="20"/>
          <w:szCs w:val="20"/>
          <w:color w:val="auto"/>
        </w:rPr>
      </w:pPr>
    </w:p>
    <w:p>
      <w:pPr>
        <w:ind w:right="200"/>
        <w:spacing w:after="0" w:line="248" w:lineRule="auto"/>
        <w:rPr>
          <w:sz w:val="20"/>
          <w:szCs w:val="20"/>
          <w:color w:val="auto"/>
        </w:rPr>
      </w:pPr>
      <w:r>
        <w:rPr>
          <w:rFonts w:ascii="Times New Roman" w:cs="Times New Roman" w:eastAsia="Times New Roman" w:hAnsi="Times New Roman"/>
          <w:sz w:val="12"/>
          <w:szCs w:val="12"/>
          <w:color w:val="auto"/>
        </w:rPr>
        <w:t>There have been no changes in the Company’s internal control over financial reporting (as defined in Exchange Act Rules 13a–15(f) and 15d–15(f)) that occurred during the Company’s most recent fiscal quarter that have materially affected, or are reasonably likely to materially affect, the Company’s internal control over financial reporting.</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OTHER INFORMATION</w:t>
      </w:r>
    </w:p>
    <w:p>
      <w:pPr>
        <w:spacing w:after="0" w:line="107"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Legal Proceedings</w:t>
      </w:r>
    </w:p>
    <w:p>
      <w:pPr>
        <w:spacing w:after="0" w:line="127" w:lineRule="exact"/>
        <w:rPr>
          <w:sz w:val="20"/>
          <w:szCs w:val="20"/>
          <w:color w:val="auto"/>
        </w:rPr>
      </w:pPr>
    </w:p>
    <w:p>
      <w:pPr>
        <w:ind w:right="20"/>
        <w:spacing w:after="0" w:line="235" w:lineRule="auto"/>
        <w:rPr>
          <w:sz w:val="20"/>
          <w:szCs w:val="20"/>
          <w:color w:val="auto"/>
        </w:rPr>
      </w:pPr>
      <w:r>
        <w:rPr>
          <w:rFonts w:ascii="Times New Roman" w:cs="Times New Roman" w:eastAsia="Times New Roman" w:hAnsi="Times New Roman"/>
          <w:sz w:val="12"/>
          <w:szCs w:val="12"/>
          <w:color w:val="auto"/>
        </w:rPr>
        <w:t>As part of its intellectual property enforcement program, on July 22, 2020, the Company brought patent infringement suits against certain parties, including Bose Corporation, PEAG, LLC d/b/a jLab Audio, Plantronics, Inc. and Polycom, Inc., and Skullcandy, Inc., alleging infringement of the Company’s patents relating to its wireless headphone technology and seeking monetary relief and attorneys’ fees. The lawsuit against Plantronics, Inc. and Polycom, Inc. was dismissed on August 4, 2023 following resolution of the litigation between parties. The remaining lawsuits are pending in U.S. District Courts in District of Massachusetts (Bose Corporation), Southern District of California (PEAG, LLC), and District of Utah (Skullcandy, Inc.).</w:t>
      </w:r>
    </w:p>
    <w:p>
      <w:pPr>
        <w:spacing w:after="0" w:line="9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2"/>
          <w:szCs w:val="12"/>
          <w:b w:val="1"/>
          <w:bCs w:val="1"/>
          <w:color w:val="auto"/>
        </w:rPr>
        <w:t>Item 1A.</w:t>
      </w:r>
      <w:r>
        <w:rPr>
          <w:sz w:val="20"/>
          <w:szCs w:val="20"/>
          <w:color w:val="auto"/>
        </w:rPr>
        <w:tab/>
      </w:r>
      <w:r>
        <w:rPr>
          <w:rFonts w:ascii="Times New Roman" w:cs="Times New Roman" w:eastAsia="Times New Roman" w:hAnsi="Times New Roman"/>
          <w:sz w:val="11"/>
          <w:szCs w:val="11"/>
          <w:b w:val="1"/>
          <w:bCs w:val="1"/>
          <w:color w:val="auto"/>
        </w:rPr>
        <w:t>Risk Factors</w:t>
      </w:r>
    </w:p>
    <w:p>
      <w:pPr>
        <w:spacing w:after="0" w:line="127"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2"/>
          <w:szCs w:val="12"/>
          <w:color w:val="auto"/>
        </w:rPr>
        <w:t>In addition to the other information set forth in this report, you should carefully consider the factors discussed in Part 1. Item 1A, “Risk Factors” in our Annual Report on Form 10-K for the fiscal year ended June 30, 2023, as filed with the Securities and Exchange Commission on August 25, 2023.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report. There have been no material changes to the risk factors described under “Risk Factors,” included in our Annual Report on Form 10-K for the fiscal year ended June 30, 2023.</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20"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380"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Unregistered Sales of Equity Securities and Use of Proceeds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information with respect to purchases of common stock of the Company made during the nine months ended March 31, 2024, by the Company.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COMPANY REPURCHASES OF EQUITY SECURITIES</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55"/>
        </w:trPr>
        <w:tc>
          <w:tcPr>
            <w:tcW w:w="46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8"/>
              </w:rPr>
              <w:t>Total Number of Shares</w:t>
            </w:r>
          </w:p>
        </w:tc>
        <w:tc>
          <w:tcPr>
            <w:tcW w:w="5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126"/>
        </w:trPr>
        <w:tc>
          <w:tcPr>
            <w:tcW w:w="4680" w:type="dxa"/>
            <w:vAlign w:val="bottom"/>
          </w:tcPr>
          <w:p>
            <w:pPr>
              <w:spacing w:after="0"/>
              <w:rPr>
                <w:sz w:val="10"/>
                <w:szCs w:val="10"/>
                <w:color w:val="auto"/>
              </w:rPr>
            </w:pPr>
          </w:p>
        </w:tc>
        <w:tc>
          <w:tcPr>
            <w:tcW w:w="1080" w:type="dxa"/>
            <w:vAlign w:val="bottom"/>
          </w:tcPr>
          <w:p>
            <w:pPr>
              <w:jc w:val="center"/>
              <w:ind w:left="220"/>
              <w:spacing w:after="0" w:line="126" w:lineRule="exact"/>
              <w:rPr>
                <w:sz w:val="20"/>
                <w:szCs w:val="20"/>
                <w:color w:val="auto"/>
              </w:rPr>
            </w:pPr>
            <w:r>
              <w:rPr>
                <w:rFonts w:ascii="Times New Roman" w:cs="Times New Roman" w:eastAsia="Times New Roman" w:hAnsi="Times New Roman"/>
                <w:sz w:val="12"/>
                <w:szCs w:val="12"/>
                <w:b w:val="1"/>
                <w:bCs w:val="1"/>
                <w:color w:val="auto"/>
                <w:w w:val="97"/>
              </w:rPr>
              <w:t>Total # of</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2"/>
          </w:tcPr>
          <w:p>
            <w:pPr>
              <w:jc w:val="center"/>
              <w:ind w:right="5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Average</w:t>
            </w:r>
          </w:p>
        </w:tc>
        <w:tc>
          <w:tcPr>
            <w:tcW w:w="160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2"/>
                <w:szCs w:val="12"/>
                <w:b w:val="1"/>
                <w:bCs w:val="1"/>
                <w:color w:val="auto"/>
              </w:rPr>
              <w:t>Purchased as</w:t>
            </w:r>
          </w:p>
        </w:tc>
        <w:tc>
          <w:tcPr>
            <w:tcW w:w="156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b w:val="1"/>
                <w:bCs w:val="1"/>
                <w:color w:val="auto"/>
              </w:rPr>
              <w:t>Approximate Dollar Value of</w:t>
            </w:r>
          </w:p>
        </w:tc>
      </w:tr>
      <w:tr>
        <w:trPr>
          <w:trHeight w:val="135"/>
        </w:trPr>
        <w:tc>
          <w:tcPr>
            <w:tcW w:w="4680" w:type="dxa"/>
            <w:vAlign w:val="bottom"/>
          </w:tcPr>
          <w:p>
            <w:pPr>
              <w:spacing w:after="0"/>
              <w:rPr>
                <w:sz w:val="11"/>
                <w:szCs w:val="11"/>
                <w:color w:val="auto"/>
              </w:rPr>
            </w:pPr>
          </w:p>
        </w:tc>
        <w:tc>
          <w:tcPr>
            <w:tcW w:w="1080" w:type="dxa"/>
            <w:vAlign w:val="bottom"/>
          </w:tcPr>
          <w:p>
            <w:pPr>
              <w:jc w:val="center"/>
              <w:ind w:left="240"/>
              <w:spacing w:after="0" w:line="135"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2"/>
          </w:tcPr>
          <w:p>
            <w:pPr>
              <w:jc w:val="center"/>
              <w:ind w:right="520"/>
              <w:spacing w:after="0" w:line="135" w:lineRule="exact"/>
              <w:rPr>
                <w:sz w:val="20"/>
                <w:szCs w:val="20"/>
                <w:color w:val="auto"/>
              </w:rPr>
            </w:pPr>
            <w:r>
              <w:rPr>
                <w:rFonts w:ascii="Times New Roman" w:cs="Times New Roman" w:eastAsia="Times New Roman" w:hAnsi="Times New Roman"/>
                <w:sz w:val="12"/>
                <w:szCs w:val="12"/>
                <w:b w:val="1"/>
                <w:bCs w:val="1"/>
                <w:color w:val="auto"/>
              </w:rPr>
              <w:t>‎Price Paid</w:t>
            </w:r>
          </w:p>
        </w:tc>
        <w:tc>
          <w:tcPr>
            <w:tcW w:w="160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2"/>
                <w:szCs w:val="12"/>
                <w:b w:val="1"/>
                <w:bCs w:val="1"/>
                <w:color w:val="auto"/>
              </w:rPr>
              <w:t>Part‎ of Publicly</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40" w:type="dxa"/>
            <w:vAlign w:val="bottom"/>
          </w:tcPr>
          <w:p>
            <w:pPr>
              <w:jc w:val="right"/>
              <w:ind w:right="140"/>
              <w:spacing w:after="0" w:line="135" w:lineRule="exact"/>
              <w:rPr>
                <w:sz w:val="20"/>
                <w:szCs w:val="20"/>
                <w:color w:val="auto"/>
              </w:rPr>
            </w:pPr>
            <w:r>
              <w:rPr>
                <w:rFonts w:ascii="Times New Roman" w:cs="Times New Roman" w:eastAsia="Times New Roman" w:hAnsi="Times New Roman"/>
                <w:sz w:val="12"/>
                <w:szCs w:val="12"/>
                <w:b w:val="1"/>
                <w:bCs w:val="1"/>
                <w:color w:val="auto"/>
                <w:w w:val="99"/>
              </w:rPr>
              <w:t>Available under</w:t>
            </w:r>
          </w:p>
        </w:tc>
      </w:tr>
      <w:tr>
        <w:trPr>
          <w:trHeight w:val="150"/>
        </w:trPr>
        <w:tc>
          <w:tcPr>
            <w:tcW w:w="4680" w:type="dxa"/>
            <w:vAlign w:val="bottom"/>
          </w:tcPr>
          <w:p>
            <w:pPr>
              <w:spacing w:after="0"/>
              <w:rPr>
                <w:sz w:val="13"/>
                <w:szCs w:val="13"/>
                <w:color w:val="auto"/>
              </w:rPr>
            </w:pPr>
          </w:p>
        </w:tc>
        <w:tc>
          <w:tcPr>
            <w:tcW w:w="1080" w:type="dxa"/>
            <w:vAlign w:val="bottom"/>
          </w:tcPr>
          <w:p>
            <w:pPr>
              <w:jc w:val="center"/>
              <w:ind w:left="240"/>
              <w:spacing w:after="0"/>
              <w:rPr>
                <w:sz w:val="20"/>
                <w:szCs w:val="20"/>
                <w:color w:val="auto"/>
              </w:rPr>
            </w:pPr>
            <w:r>
              <w:rPr>
                <w:rFonts w:ascii="Times New Roman" w:cs="Times New Roman" w:eastAsia="Times New Roman" w:hAnsi="Times New Roman"/>
                <w:sz w:val="12"/>
                <w:szCs w:val="12"/>
                <w:b w:val="1"/>
                <w:bCs w:val="1"/>
                <w:color w:val="auto"/>
                <w:w w:val="99"/>
              </w:rPr>
              <w:t>‎Purchased</w:t>
            </w: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40" w:type="dxa"/>
            <w:vAlign w:val="bottom"/>
            <w:gridSpan w:val="2"/>
          </w:tcPr>
          <w:p>
            <w:pPr>
              <w:jc w:val="center"/>
              <w:ind w:right="520"/>
              <w:spacing w:after="0"/>
              <w:rPr>
                <w:sz w:val="20"/>
                <w:szCs w:val="20"/>
                <w:color w:val="auto"/>
              </w:rPr>
            </w:pPr>
            <w:r>
              <w:rPr>
                <w:rFonts w:ascii="Times New Roman" w:cs="Times New Roman" w:eastAsia="Times New Roman" w:hAnsi="Times New Roman"/>
                <w:sz w:val="12"/>
                <w:szCs w:val="12"/>
                <w:b w:val="1"/>
                <w:bCs w:val="1"/>
                <w:color w:val="auto"/>
                <w:w w:val="99"/>
              </w:rPr>
              <w:t>‎per Share</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Announced Plan (1)</w:t>
            </w:r>
          </w:p>
        </w:tc>
        <w:tc>
          <w:tcPr>
            <w:tcW w:w="156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b w:val="1"/>
                <w:bCs w:val="1"/>
                <w:color w:val="auto"/>
              </w:rPr>
              <w:t>Repurchase Plan</w:t>
            </w:r>
          </w:p>
        </w:tc>
      </w:tr>
      <w:tr>
        <w:trPr>
          <w:trHeight w:val="115"/>
        </w:trPr>
        <w:tc>
          <w:tcPr>
            <w:tcW w:w="468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January 1 - January 31, 2024</w:t>
            </w:r>
          </w:p>
        </w:tc>
        <w:tc>
          <w:tcPr>
            <w:tcW w:w="108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ind w:left="1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jc w:val="right"/>
              <w:ind w:right="18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tcBorders>
            <w:shd w:val="clear" w:color="auto" w:fill="CCEEFF"/>
          </w:tcPr>
          <w:p>
            <w:pPr>
              <w:ind w:left="114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top w:val="single" w:sz="8" w:color="CCEEFF"/>
            </w:tcBorders>
            <w:shd w:val="clear" w:color="auto" w:fill="CCEEFF"/>
          </w:tcPr>
          <w:p>
            <w:pPr>
              <w:spacing w:after="0"/>
              <w:rPr>
                <w:sz w:val="10"/>
                <w:szCs w:val="10"/>
                <w:color w:val="auto"/>
              </w:rPr>
            </w:pPr>
          </w:p>
        </w:tc>
        <w:tc>
          <w:tcPr>
            <w:tcW w:w="1360" w:type="dxa"/>
            <w:vAlign w:val="bottom"/>
            <w:tcBorders>
              <w:top w:val="single" w:sz="8" w:color="auto"/>
            </w:tcBorders>
            <w:shd w:val="clear" w:color="auto" w:fill="CCEEFF"/>
          </w:tcPr>
          <w:p>
            <w:pPr>
              <w:ind w:left="1200"/>
              <w:spacing w:after="0" w:line="115"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jc w:val="right"/>
              <w:ind w:right="40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2"/>
                <w:szCs w:val="12"/>
                <w:color w:val="auto"/>
              </w:rPr>
              <w:t>2,139,753</w:t>
            </w:r>
          </w:p>
        </w:tc>
      </w:tr>
      <w:tr>
        <w:trPr>
          <w:trHeight w:val="126"/>
        </w:trPr>
        <w:tc>
          <w:tcPr>
            <w:tcW w:w="5760" w:type="dxa"/>
            <w:vAlign w:val="bottom"/>
            <w:gridSpan w:val="2"/>
          </w:tcPr>
          <w:p>
            <w:pPr>
              <w:spacing w:after="0" w:line="126" w:lineRule="exact"/>
              <w:rPr>
                <w:sz w:val="20"/>
                <w:szCs w:val="20"/>
                <w:color w:val="auto"/>
              </w:rPr>
            </w:pPr>
            <w:r>
              <w:rPr>
                <w:rFonts w:ascii="Times New Roman" w:cs="Times New Roman" w:eastAsia="Times New Roman" w:hAnsi="Times New Roman"/>
                <w:sz w:val="12"/>
                <w:szCs w:val="12"/>
                <w:color w:val="auto"/>
              </w:rPr>
              <w:t>February 1 - February 29, 2024</w:t>
            </w:r>
          </w:p>
        </w:tc>
        <w:tc>
          <w:tcPr>
            <w:tcW w:w="540" w:type="dxa"/>
            <w:vAlign w:val="bottom"/>
            <w:gridSpan w:val="2"/>
          </w:tcPr>
          <w:p>
            <w:pPr>
              <w:ind w:left="1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tcPr>
          <w:p>
            <w:pPr>
              <w:ind w:left="11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600" w:type="dxa"/>
            <w:vAlign w:val="bottom"/>
            <w:gridSpan w:val="2"/>
          </w:tcPr>
          <w:p>
            <w:pPr>
              <w:ind w:left="1200"/>
              <w:spacing w:after="0" w:line="126"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line="126" w:lineRule="exact"/>
              <w:rPr>
                <w:sz w:val="20"/>
                <w:szCs w:val="20"/>
                <w:color w:val="auto"/>
              </w:rPr>
            </w:pPr>
            <w:r>
              <w:rPr>
                <w:rFonts w:ascii="Times New Roman" w:cs="Times New Roman" w:eastAsia="Times New Roman" w:hAnsi="Times New Roman"/>
                <w:sz w:val="12"/>
                <w:szCs w:val="12"/>
                <w:color w:val="auto"/>
              </w:rPr>
              <w:t>2,139,753</w:t>
            </w:r>
          </w:p>
        </w:tc>
      </w:tr>
      <w:tr>
        <w:trPr>
          <w:trHeight w:val="126"/>
        </w:trPr>
        <w:tc>
          <w:tcPr>
            <w:tcW w:w="57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March 1 - March 31, 2024</w:t>
            </w:r>
          </w:p>
        </w:tc>
        <w:tc>
          <w:tcPr>
            <w:tcW w:w="540" w:type="dxa"/>
            <w:vAlign w:val="bottom"/>
            <w:gridSpan w:val="2"/>
            <w:shd w:val="clear" w:color="auto" w:fill="CCEEFF"/>
          </w:tcPr>
          <w:p>
            <w:pPr>
              <w:ind w:left="1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gridSpan w:val="2"/>
            <w:shd w:val="clear" w:color="auto" w:fill="CCEEFF"/>
          </w:tcPr>
          <w:p>
            <w:pPr>
              <w:ind w:left="1140"/>
              <w:spacing w:after="0" w:line="126" w:lineRule="exact"/>
              <w:rPr>
                <w:sz w:val="20"/>
                <w:szCs w:val="20"/>
                <w:color w:val="auto"/>
              </w:rPr>
            </w:pPr>
            <w:r>
              <w:rPr>
                <w:rFonts w:ascii="Times New Roman" w:cs="Times New Roman" w:eastAsia="Times New Roman" w:hAnsi="Times New Roman"/>
                <w:sz w:val="12"/>
                <w:szCs w:val="12"/>
                <w:color w:val="auto"/>
              </w:rPr>
              <w:t>—</w:t>
            </w:r>
          </w:p>
        </w:tc>
        <w:tc>
          <w:tcPr>
            <w:tcW w:w="1600" w:type="dxa"/>
            <w:vAlign w:val="bottom"/>
            <w:gridSpan w:val="2"/>
            <w:shd w:val="clear" w:color="auto" w:fill="CCEEFF"/>
          </w:tcPr>
          <w:p>
            <w:pPr>
              <w:ind w:left="1200"/>
              <w:spacing w:after="0" w:line="126" w:lineRule="exact"/>
              <w:rPr>
                <w:sz w:val="20"/>
                <w:szCs w:val="20"/>
                <w:color w:val="auto"/>
              </w:rPr>
            </w:pPr>
            <w:r>
              <w:rPr>
                <w:rFonts w:ascii="Times New Roman" w:cs="Times New Roman" w:eastAsia="Times New Roman" w:hAnsi="Times New Roman"/>
                <w:sz w:val="12"/>
                <w:szCs w:val="12"/>
                <w:color w:val="auto"/>
              </w:rPr>
              <w:t>—</w:t>
            </w:r>
          </w:p>
        </w:tc>
        <w:tc>
          <w:tcPr>
            <w:tcW w:w="520" w:type="dxa"/>
            <w:vAlign w:val="bottom"/>
            <w:shd w:val="clear" w:color="auto" w:fill="CCEEFF"/>
          </w:tcPr>
          <w:p>
            <w:pPr>
              <w:jc w:val="right"/>
              <w:ind w:right="403"/>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2,139,753</w:t>
            </w:r>
          </w:p>
        </w:tc>
      </w:tr>
    </w:tbl>
    <w:p>
      <w:pPr>
        <w:spacing w:after="0" w:line="115" w:lineRule="exact"/>
        <w:rPr>
          <w:sz w:val="20"/>
          <w:szCs w:val="20"/>
          <w:color w:val="auto"/>
        </w:rPr>
      </w:pPr>
    </w:p>
    <w:p>
      <w:pPr>
        <w:ind w:left="300" w:right="400" w:hanging="222"/>
        <w:spacing w:after="0" w:line="241" w:lineRule="auto"/>
        <w:tabs>
          <w:tab w:leader="none" w:pos="30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April of 1995, the Board of Directors approved a stock repurchase program authorizing the Company to purchase from time to time up to $2,000,000 of its common stock for its own account. Subsequently, the Board of Directors periodically has approved increases in the stock repurchase program. The most recent increase was for an additional $2,000,000 in October 2006, for a maximum of $45,500,000 of which $43,360,247 had been expended through March 31, 2024.</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215265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20" w:right="299" w:bottom="1440" w:gutter="0" w:footer="0" w:header="0"/>
        </w:sectPr>
      </w:pPr>
    </w:p>
    <w:bookmarkStart w:id="23" w:name="page24"/>
    <w:bookmarkEnd w:id="23"/>
    <w:tbl>
      <w:tblPr>
        <w:tblLayout w:type="fixed"/>
        <w:tblInd w:w="8" w:type="dxa"/>
        <w:tblCellMar>
          <w:top w:w="0" w:type="dxa"/>
          <w:left w:w="0" w:type="dxa"/>
          <w:bottom w:w="0" w:type="dxa"/>
          <w:right w:w="0" w:type="dxa"/>
        </w:tblCellMar>
      </w:tblPr>
      <w:tr>
        <w:trPr>
          <w:trHeight w:val="138"/>
        </w:trPr>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Table of Contents</w:t>
            </w:r>
          </w:p>
        </w:tc>
        <w:tc>
          <w:tcPr>
            <w:tcW w:w="2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0"/>
        </w:trPr>
        <w:tc>
          <w:tcPr>
            <w:tcW w:w="8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529"/>
        </w:trPr>
        <w:tc>
          <w:tcPr>
            <w:tcW w:w="13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Item 6.  Exhibits</w:t>
            </w: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70"/>
        </w:trPr>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 No.</w:t>
            </w:r>
          </w:p>
        </w:tc>
        <w:tc>
          <w:tcPr>
            <w:tcW w:w="9940" w:type="dxa"/>
            <w:vAlign w:val="bottom"/>
            <w:tcBorders>
              <w:bottom w:val="single" w:sz="8" w:color="auto"/>
            </w:tcBorders>
            <w:gridSpan w:val="9"/>
          </w:tcPr>
          <w:p>
            <w:pPr>
              <w:ind w:left="1940"/>
              <w:spacing w:after="0"/>
              <w:rPr>
                <w:sz w:val="20"/>
                <w:szCs w:val="20"/>
                <w:color w:val="auto"/>
              </w:rPr>
            </w:pPr>
            <w:r>
              <w:rPr>
                <w:rFonts w:ascii="Times New Roman" w:cs="Times New Roman" w:eastAsia="Times New Roman" w:hAnsi="Times New Roman"/>
                <w:sz w:val="12"/>
                <w:szCs w:val="12"/>
                <w:b w:val="1"/>
                <w:bCs w:val="1"/>
                <w:color w:val="auto"/>
              </w:rPr>
              <w:t>Exhibit Description</w:t>
            </w:r>
          </w:p>
        </w:tc>
      </w:tr>
      <w:tr>
        <w:trPr>
          <w:trHeight w:val="97"/>
        </w:trPr>
        <w:tc>
          <w:tcPr>
            <w:tcW w:w="84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1"/>
                <w:szCs w:val="11"/>
                <w:color w:val="auto"/>
              </w:rPr>
              <w:t>3.1</w:t>
            </w:r>
          </w:p>
        </w:tc>
        <w:tc>
          <w:tcPr>
            <w:tcW w:w="520" w:type="dxa"/>
            <w:vAlign w:val="bottom"/>
            <w:shd w:val="clear" w:color="auto" w:fill="CCEEFF"/>
          </w:tcPr>
          <w:p>
            <w:pPr>
              <w:spacing w:after="0"/>
              <w:rPr>
                <w:sz w:val="8"/>
                <w:szCs w:val="8"/>
                <w:color w:val="auto"/>
              </w:rPr>
            </w:pPr>
          </w:p>
        </w:tc>
        <w:tc>
          <w:tcPr>
            <w:tcW w:w="9940" w:type="dxa"/>
            <w:vAlign w:val="bottom"/>
            <w:gridSpan w:val="9"/>
            <w:shd w:val="clear" w:color="auto" w:fill="CCEEFF"/>
          </w:tcPr>
          <w:p>
            <w:pPr>
              <w:spacing w:after="0" w:line="97" w:lineRule="exact"/>
              <w:rPr>
                <w:rFonts w:ascii="Times New Roman" w:cs="Times New Roman" w:eastAsia="Times New Roman" w:hAnsi="Times New Roman"/>
                <w:sz w:val="11"/>
                <w:szCs w:val="11"/>
                <w:color w:val="0000FF"/>
              </w:rPr>
            </w:pPr>
            <w:hyperlink r:id="rId42">
              <w:r>
                <w:rPr>
                  <w:rFonts w:ascii="Times New Roman" w:cs="Times New Roman" w:eastAsia="Times New Roman" w:hAnsi="Times New Roman"/>
                  <w:sz w:val="11"/>
                  <w:szCs w:val="11"/>
                  <w:color w:val="0000FF"/>
                </w:rPr>
                <w:t>Amended and Restated Certificate of Incorporation of Koss Corporation, as in effect on November 19, 2009. Filed as Exhibit 3.1 to the Company’s Quarterly Report on Form 10-Q for the period ended</w:t>
              </w:r>
            </w:hyperlink>
          </w:p>
        </w:tc>
      </w:tr>
      <w:tr>
        <w:trPr>
          <w:trHeight w:val="106"/>
        </w:trPr>
        <w:tc>
          <w:tcPr>
            <w:tcW w:w="840" w:type="dxa"/>
            <w:vAlign w:val="bottom"/>
            <w:tcBorders>
              <w:top w:val="single" w:sz="8" w:color="CCEEFF"/>
            </w:tcBorders>
            <w:shd w:val="clear" w:color="auto" w:fill="CCEEFF"/>
          </w:tcPr>
          <w:p>
            <w:pPr>
              <w:spacing w:after="0"/>
              <w:rPr>
                <w:sz w:val="9"/>
                <w:szCs w:val="9"/>
                <w:color w:val="auto"/>
              </w:rPr>
            </w:pPr>
          </w:p>
        </w:tc>
        <w:tc>
          <w:tcPr>
            <w:tcW w:w="520" w:type="dxa"/>
            <w:vAlign w:val="bottom"/>
            <w:tcBorders>
              <w:top w:val="single" w:sz="8" w:color="CCEEFF"/>
            </w:tcBorders>
            <w:shd w:val="clear" w:color="auto" w:fill="CCEEFF"/>
          </w:tcPr>
          <w:p>
            <w:pPr>
              <w:spacing w:after="0"/>
              <w:rPr>
                <w:sz w:val="9"/>
                <w:szCs w:val="9"/>
                <w:color w:val="auto"/>
              </w:rPr>
            </w:pPr>
          </w:p>
        </w:tc>
        <w:tc>
          <w:tcPr>
            <w:tcW w:w="9660" w:type="dxa"/>
            <w:vAlign w:val="bottom"/>
            <w:tcBorders>
              <w:top w:val="single" w:sz="8" w:color="0000FF"/>
            </w:tcBorders>
            <w:gridSpan w:val="8"/>
            <w:shd w:val="clear" w:color="auto" w:fill="CCEEFF"/>
          </w:tcPr>
          <w:p>
            <w:pPr>
              <w:spacing w:after="0" w:line="106" w:lineRule="exact"/>
              <w:rPr>
                <w:rFonts w:ascii="Times New Roman" w:cs="Times New Roman" w:eastAsia="Times New Roman" w:hAnsi="Times New Roman"/>
                <w:sz w:val="12"/>
                <w:szCs w:val="12"/>
                <w:color w:val="0000FF"/>
              </w:rPr>
            </w:pPr>
            <w:hyperlink r:id="rId42">
              <w:r>
                <w:rPr>
                  <w:rFonts w:ascii="Times New Roman" w:cs="Times New Roman" w:eastAsia="Times New Roman" w:hAnsi="Times New Roman"/>
                  <w:sz w:val="12"/>
                  <w:szCs w:val="12"/>
                  <w:color w:val="0000FF"/>
                </w:rPr>
                <w:t>December 31, 2009 and incorporated herein by reference.</w:t>
              </w:r>
            </w:hyperlink>
          </w:p>
        </w:tc>
        <w:tc>
          <w:tcPr>
            <w:tcW w:w="280" w:type="dxa"/>
            <w:vAlign w:val="bottom"/>
            <w:tcBorders>
              <w:top w:val="single" w:sz="8" w:color="CCEEFF"/>
            </w:tcBorders>
            <w:shd w:val="clear" w:color="auto" w:fill="CCEEFF"/>
          </w:tcPr>
          <w:p>
            <w:pPr>
              <w:spacing w:after="0"/>
              <w:rPr>
                <w:sz w:val="9"/>
                <w:szCs w:val="9"/>
                <w:color w:val="auto"/>
              </w:rPr>
            </w:pPr>
          </w:p>
        </w:tc>
      </w:tr>
      <w:tr>
        <w:trPr>
          <w:trHeight w:val="27"/>
        </w:trPr>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700" w:type="dxa"/>
            <w:vAlign w:val="bottom"/>
            <w:shd w:val="clear" w:color="auto" w:fill="0000FF"/>
          </w:tcPr>
          <w:p>
            <w:pPr>
              <w:spacing w:after="0"/>
              <w:rPr>
                <w:sz w:val="2"/>
                <w:szCs w:val="2"/>
                <w:color w:val="auto"/>
              </w:rPr>
            </w:pPr>
          </w:p>
        </w:tc>
        <w:tc>
          <w:tcPr>
            <w:tcW w:w="60" w:type="dxa"/>
            <w:vAlign w:val="bottom"/>
            <w:tcBorders>
              <w:right w:val="single" w:sz="8" w:color="0000FF"/>
            </w:tcBorders>
            <w:shd w:val="clear" w:color="auto" w:fill="0000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08"/>
        </w:trPr>
        <w:tc>
          <w:tcPr>
            <w:tcW w:w="840" w:type="dxa"/>
            <w:vAlign w:val="bottom"/>
          </w:tcPr>
          <w:p>
            <w:pPr>
              <w:spacing w:after="0" w:line="108" w:lineRule="exact"/>
              <w:rPr>
                <w:sz w:val="20"/>
                <w:szCs w:val="20"/>
                <w:color w:val="auto"/>
              </w:rPr>
            </w:pPr>
            <w:r>
              <w:rPr>
                <w:rFonts w:ascii="Times New Roman" w:cs="Times New Roman" w:eastAsia="Times New Roman" w:hAnsi="Times New Roman"/>
                <w:sz w:val="12"/>
                <w:szCs w:val="12"/>
                <w:color w:val="auto"/>
              </w:rPr>
              <w:t>3.2</w:t>
            </w:r>
          </w:p>
        </w:tc>
        <w:tc>
          <w:tcPr>
            <w:tcW w:w="520" w:type="dxa"/>
            <w:vAlign w:val="bottom"/>
          </w:tcPr>
          <w:p>
            <w:pPr>
              <w:spacing w:after="0"/>
              <w:rPr>
                <w:sz w:val="9"/>
                <w:szCs w:val="9"/>
                <w:color w:val="auto"/>
              </w:rPr>
            </w:pPr>
          </w:p>
        </w:tc>
        <w:tc>
          <w:tcPr>
            <w:tcW w:w="9940" w:type="dxa"/>
            <w:vAlign w:val="bottom"/>
            <w:gridSpan w:val="9"/>
          </w:tcPr>
          <w:p>
            <w:pPr>
              <w:spacing w:after="0" w:line="108" w:lineRule="exact"/>
              <w:rPr>
                <w:rFonts w:ascii="Times New Roman" w:cs="Times New Roman" w:eastAsia="Times New Roman" w:hAnsi="Times New Roman"/>
                <w:sz w:val="12"/>
                <w:szCs w:val="12"/>
                <w:color w:val="0000FF"/>
              </w:rPr>
            </w:pPr>
            <w:hyperlink r:id="rId43">
              <w:r>
                <w:rPr>
                  <w:rFonts w:ascii="Times New Roman" w:cs="Times New Roman" w:eastAsia="Times New Roman" w:hAnsi="Times New Roman"/>
                  <w:sz w:val="12"/>
                  <w:szCs w:val="12"/>
                  <w:color w:val="0000FF"/>
                </w:rPr>
                <w:t>By-Laws of Koss Corporation. Filed as Exhibit 3.2 to the Company’s Annual Report on Form 10-K for the year ended June 30, 1996 and incorporated herein by reference.</w:t>
              </w:r>
            </w:hyperlink>
          </w:p>
        </w:tc>
      </w:tr>
      <w:tr>
        <w:trPr>
          <w:trHeight w:val="20"/>
        </w:trPr>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06"/>
        </w:trPr>
        <w:tc>
          <w:tcPr>
            <w:tcW w:w="8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3.3</w:t>
            </w:r>
          </w:p>
        </w:tc>
        <w:tc>
          <w:tcPr>
            <w:tcW w:w="520" w:type="dxa"/>
            <w:vAlign w:val="bottom"/>
            <w:shd w:val="clear" w:color="auto" w:fill="CCEEFF"/>
          </w:tcPr>
          <w:p>
            <w:pPr>
              <w:spacing w:after="0"/>
              <w:rPr>
                <w:sz w:val="9"/>
                <w:szCs w:val="9"/>
                <w:color w:val="auto"/>
              </w:rPr>
            </w:pPr>
          </w:p>
        </w:tc>
        <w:tc>
          <w:tcPr>
            <w:tcW w:w="9940" w:type="dxa"/>
            <w:vAlign w:val="bottom"/>
            <w:gridSpan w:val="9"/>
            <w:shd w:val="clear" w:color="auto" w:fill="CCEEFF"/>
          </w:tcPr>
          <w:p>
            <w:pPr>
              <w:spacing w:after="0" w:line="106" w:lineRule="exact"/>
              <w:rPr>
                <w:rFonts w:ascii="Times New Roman" w:cs="Times New Roman" w:eastAsia="Times New Roman" w:hAnsi="Times New Roman"/>
                <w:sz w:val="12"/>
                <w:szCs w:val="12"/>
                <w:color w:val="0000FF"/>
              </w:rPr>
            </w:pPr>
            <w:hyperlink r:id="rId44">
              <w:r>
                <w:rPr>
                  <w:rFonts w:ascii="Times New Roman" w:cs="Times New Roman" w:eastAsia="Times New Roman" w:hAnsi="Times New Roman"/>
                  <w:sz w:val="12"/>
                  <w:szCs w:val="12"/>
                  <w:color w:val="0000FF"/>
                </w:rPr>
                <w:t>Amendment to the By-Laws of Koss Corporation. Filed as Exhibit 3.3 to the Company’s Current Report on Form 8-K on March 7, 2006 and incorporated herein by reference.</w:t>
              </w:r>
            </w:hyperlink>
          </w:p>
        </w:tc>
      </w:tr>
      <w:tr>
        <w:trPr>
          <w:trHeight w:val="20"/>
        </w:trPr>
        <w:tc>
          <w:tcPr>
            <w:tcW w:w="84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27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9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r>
      <w:tr>
        <w:trPr>
          <w:trHeight w:val="106"/>
        </w:trPr>
        <w:tc>
          <w:tcPr>
            <w:tcW w:w="840" w:type="dxa"/>
            <w:vAlign w:val="bottom"/>
          </w:tcPr>
          <w:p>
            <w:pPr>
              <w:spacing w:after="0" w:line="106" w:lineRule="exact"/>
              <w:rPr>
                <w:sz w:val="20"/>
                <w:szCs w:val="20"/>
                <w:color w:val="auto"/>
              </w:rPr>
            </w:pPr>
            <w:r>
              <w:rPr>
                <w:rFonts w:ascii="Times New Roman" w:cs="Times New Roman" w:eastAsia="Times New Roman" w:hAnsi="Times New Roman"/>
                <w:sz w:val="12"/>
                <w:szCs w:val="12"/>
                <w:color w:val="auto"/>
              </w:rPr>
              <w:t>3.4</w:t>
            </w:r>
          </w:p>
        </w:tc>
        <w:tc>
          <w:tcPr>
            <w:tcW w:w="520" w:type="dxa"/>
            <w:vAlign w:val="bottom"/>
          </w:tcPr>
          <w:p>
            <w:pPr>
              <w:spacing w:after="0"/>
              <w:rPr>
                <w:sz w:val="9"/>
                <w:szCs w:val="9"/>
                <w:color w:val="auto"/>
              </w:rPr>
            </w:pPr>
          </w:p>
        </w:tc>
        <w:tc>
          <w:tcPr>
            <w:tcW w:w="9940" w:type="dxa"/>
            <w:vAlign w:val="bottom"/>
            <w:gridSpan w:val="9"/>
          </w:tcPr>
          <w:p>
            <w:pPr>
              <w:spacing w:after="0" w:line="106" w:lineRule="exact"/>
              <w:rPr>
                <w:rFonts w:ascii="Times New Roman" w:cs="Times New Roman" w:eastAsia="Times New Roman" w:hAnsi="Times New Roman"/>
                <w:sz w:val="12"/>
                <w:szCs w:val="12"/>
                <w:color w:val="0000FF"/>
              </w:rPr>
            </w:pPr>
            <w:hyperlink r:id="rId45">
              <w:r>
                <w:rPr>
                  <w:rFonts w:ascii="Times New Roman" w:cs="Times New Roman" w:eastAsia="Times New Roman" w:hAnsi="Times New Roman"/>
                  <w:sz w:val="12"/>
                  <w:szCs w:val="12"/>
                  <w:color w:val="0000FF"/>
                </w:rPr>
                <w:t>Amendment to the By-Laws of Koss Corporation. Filed as Exhibit 3.4 to the Company’s Annual Report on Form 10-K on August 27, 2020 and incorporated herein by reference.</w:t>
              </w:r>
            </w:hyperlink>
          </w:p>
        </w:tc>
      </w:tr>
      <w:tr>
        <w:trPr>
          <w:trHeight w:val="106"/>
        </w:trPr>
        <w:tc>
          <w:tcPr>
            <w:tcW w:w="8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31.1</w:t>
            </w:r>
          </w:p>
        </w:tc>
        <w:tc>
          <w:tcPr>
            <w:tcW w:w="520" w:type="dxa"/>
            <w:vAlign w:val="bottom"/>
            <w:shd w:val="clear" w:color="auto" w:fill="CCEEFF"/>
          </w:tcPr>
          <w:p>
            <w:pPr>
              <w:spacing w:after="0"/>
              <w:rPr>
                <w:sz w:val="9"/>
                <w:szCs w:val="9"/>
                <w:color w:val="auto"/>
              </w:rPr>
            </w:pPr>
          </w:p>
        </w:tc>
        <w:tc>
          <w:tcPr>
            <w:tcW w:w="8500" w:type="dxa"/>
            <w:vAlign w:val="bottom"/>
            <w:tcBorders>
              <w:top w:val="single" w:sz="8" w:color="0000FF"/>
            </w:tcBorders>
            <w:gridSpan w:val="7"/>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rPr>
              <w:t>Rule 13a-14(a)/15d-14(a) Certification of Chief Executive Officer *</w:t>
            </w:r>
          </w:p>
        </w:tc>
        <w:tc>
          <w:tcPr>
            <w:tcW w:w="1440" w:type="dxa"/>
            <w:vAlign w:val="bottom"/>
            <w:gridSpan w:val="2"/>
            <w:shd w:val="clear" w:color="auto" w:fill="CCEEFF"/>
          </w:tcPr>
          <w:p>
            <w:pPr>
              <w:spacing w:after="0"/>
              <w:rPr>
                <w:sz w:val="9"/>
                <w:szCs w:val="9"/>
                <w:color w:val="auto"/>
              </w:rPr>
            </w:pPr>
          </w:p>
        </w:tc>
      </w:tr>
      <w:tr>
        <w:trPr>
          <w:trHeight w:val="106"/>
        </w:trPr>
        <w:tc>
          <w:tcPr>
            <w:tcW w:w="840" w:type="dxa"/>
            <w:vAlign w:val="bottom"/>
            <w:tcBorders>
              <w:top w:val="single" w:sz="8" w:color="CCEEFF"/>
            </w:tcBorders>
          </w:tcPr>
          <w:p>
            <w:pPr>
              <w:spacing w:after="0" w:line="106" w:lineRule="exact"/>
              <w:rPr>
                <w:sz w:val="20"/>
                <w:szCs w:val="20"/>
                <w:color w:val="auto"/>
              </w:rPr>
            </w:pPr>
            <w:r>
              <w:rPr>
                <w:rFonts w:ascii="Times New Roman" w:cs="Times New Roman" w:eastAsia="Times New Roman" w:hAnsi="Times New Roman"/>
                <w:sz w:val="12"/>
                <w:szCs w:val="12"/>
                <w:color w:val="auto"/>
              </w:rPr>
              <w:t>31.2</w:t>
            </w:r>
          </w:p>
        </w:tc>
        <w:tc>
          <w:tcPr>
            <w:tcW w:w="520" w:type="dxa"/>
            <w:vAlign w:val="bottom"/>
            <w:tcBorders>
              <w:top w:val="single" w:sz="8" w:color="CCEEFF"/>
            </w:tcBorders>
          </w:tcPr>
          <w:p>
            <w:pPr>
              <w:spacing w:after="0"/>
              <w:rPr>
                <w:sz w:val="9"/>
                <w:szCs w:val="9"/>
                <w:color w:val="auto"/>
              </w:rPr>
            </w:pPr>
          </w:p>
        </w:tc>
        <w:tc>
          <w:tcPr>
            <w:tcW w:w="3240" w:type="dxa"/>
            <w:vAlign w:val="bottom"/>
            <w:tcBorders>
              <w:top w:val="single" w:sz="8" w:color="0000FF"/>
              <w:bottom w:val="single" w:sz="8" w:color="0000FF"/>
            </w:tcBorders>
            <w:gridSpan w:val="3"/>
          </w:tcPr>
          <w:p>
            <w:pPr>
              <w:spacing w:after="0" w:line="106" w:lineRule="exact"/>
              <w:rPr>
                <w:sz w:val="20"/>
                <w:szCs w:val="20"/>
                <w:color w:val="auto"/>
              </w:rPr>
            </w:pPr>
            <w:r>
              <w:rPr>
                <w:rFonts w:ascii="Times New Roman" w:cs="Times New Roman" w:eastAsia="Times New Roman" w:hAnsi="Times New Roman"/>
                <w:sz w:val="12"/>
                <w:szCs w:val="12"/>
                <w:color w:val="0000FF"/>
                <w:w w:val="99"/>
              </w:rPr>
              <w:t>Rule 13a-14(a)/15d-14(a) Certification of Chief Financial Officer *</w:t>
            </w:r>
          </w:p>
        </w:tc>
        <w:tc>
          <w:tcPr>
            <w:tcW w:w="20" w:type="dxa"/>
            <w:vAlign w:val="bottom"/>
            <w:tcBorders>
              <w:top w:val="single" w:sz="8" w:color="0000FF"/>
            </w:tcBorders>
          </w:tcPr>
          <w:p>
            <w:pPr>
              <w:spacing w:after="0"/>
              <w:rPr>
                <w:sz w:val="9"/>
                <w:szCs w:val="9"/>
                <w:color w:val="auto"/>
              </w:rPr>
            </w:pPr>
          </w:p>
        </w:tc>
        <w:tc>
          <w:tcPr>
            <w:tcW w:w="6680" w:type="dxa"/>
            <w:vAlign w:val="bottom"/>
            <w:tcBorders>
              <w:top w:val="single" w:sz="8" w:color="CCEEFF"/>
            </w:tcBorders>
            <w:gridSpan w:val="5"/>
          </w:tcPr>
          <w:p>
            <w:pPr>
              <w:spacing w:after="0"/>
              <w:rPr>
                <w:sz w:val="9"/>
                <w:szCs w:val="9"/>
                <w:color w:val="auto"/>
              </w:rPr>
            </w:pPr>
          </w:p>
        </w:tc>
      </w:tr>
      <w:tr>
        <w:trPr>
          <w:trHeight w:val="106"/>
        </w:trPr>
        <w:tc>
          <w:tcPr>
            <w:tcW w:w="840" w:type="dxa"/>
            <w:vAlign w:val="bottom"/>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auto"/>
              </w:rPr>
              <w:t>32.1</w:t>
            </w:r>
          </w:p>
        </w:tc>
        <w:tc>
          <w:tcPr>
            <w:tcW w:w="520" w:type="dxa"/>
            <w:vAlign w:val="bottom"/>
            <w:shd w:val="clear" w:color="auto" w:fill="CCEEFF"/>
          </w:tcPr>
          <w:p>
            <w:pPr>
              <w:spacing w:after="0"/>
              <w:rPr>
                <w:sz w:val="9"/>
                <w:szCs w:val="9"/>
                <w:color w:val="auto"/>
              </w:rPr>
            </w:pPr>
          </w:p>
        </w:tc>
        <w:tc>
          <w:tcPr>
            <w:tcW w:w="9940" w:type="dxa"/>
            <w:vAlign w:val="bottom"/>
            <w:gridSpan w:val="9"/>
            <w:shd w:val="clear" w:color="auto" w:fill="CCEEFF"/>
          </w:tcPr>
          <w:p>
            <w:pPr>
              <w:spacing w:after="0" w:line="106" w:lineRule="exact"/>
              <w:rPr>
                <w:sz w:val="20"/>
                <w:szCs w:val="20"/>
                <w:color w:val="auto"/>
              </w:rPr>
            </w:pPr>
            <w:r>
              <w:rPr>
                <w:rFonts w:ascii="Times New Roman" w:cs="Times New Roman" w:eastAsia="Times New Roman" w:hAnsi="Times New Roman"/>
                <w:sz w:val="12"/>
                <w:szCs w:val="12"/>
                <w:color w:val="0000FF"/>
              </w:rPr>
              <w:t>Section 1350 Certification of Chief Executive Officer **</w:t>
            </w:r>
          </w:p>
        </w:tc>
      </w:tr>
      <w:tr>
        <w:trPr>
          <w:trHeight w:val="106"/>
        </w:trPr>
        <w:tc>
          <w:tcPr>
            <w:tcW w:w="840" w:type="dxa"/>
            <w:vAlign w:val="bottom"/>
            <w:tcBorders>
              <w:top w:val="single" w:sz="8" w:color="CCEEFF"/>
            </w:tcBorders>
          </w:tcPr>
          <w:p>
            <w:pPr>
              <w:spacing w:after="0" w:line="106" w:lineRule="exact"/>
              <w:rPr>
                <w:sz w:val="20"/>
                <w:szCs w:val="20"/>
                <w:color w:val="auto"/>
              </w:rPr>
            </w:pPr>
            <w:r>
              <w:rPr>
                <w:rFonts w:ascii="Times New Roman" w:cs="Times New Roman" w:eastAsia="Times New Roman" w:hAnsi="Times New Roman"/>
                <w:sz w:val="12"/>
                <w:szCs w:val="12"/>
                <w:color w:val="auto"/>
              </w:rPr>
              <w:t>32.2</w:t>
            </w:r>
          </w:p>
        </w:tc>
        <w:tc>
          <w:tcPr>
            <w:tcW w:w="520" w:type="dxa"/>
            <w:vAlign w:val="bottom"/>
            <w:tcBorders>
              <w:top w:val="single" w:sz="8" w:color="CCEEFF"/>
            </w:tcBorders>
          </w:tcPr>
          <w:p>
            <w:pPr>
              <w:spacing w:after="0"/>
              <w:rPr>
                <w:sz w:val="9"/>
                <w:szCs w:val="9"/>
                <w:color w:val="auto"/>
              </w:rPr>
            </w:pPr>
          </w:p>
        </w:tc>
        <w:tc>
          <w:tcPr>
            <w:tcW w:w="2700" w:type="dxa"/>
            <w:vAlign w:val="bottom"/>
            <w:tcBorders>
              <w:top w:val="single" w:sz="8" w:color="0000FF"/>
              <w:bottom w:val="single" w:sz="8" w:color="0000FF"/>
            </w:tcBorders>
          </w:tcPr>
          <w:p>
            <w:pPr>
              <w:spacing w:after="0" w:line="106" w:lineRule="exact"/>
              <w:rPr>
                <w:sz w:val="20"/>
                <w:szCs w:val="20"/>
                <w:color w:val="auto"/>
              </w:rPr>
            </w:pPr>
            <w:r>
              <w:rPr>
                <w:rFonts w:ascii="Times New Roman" w:cs="Times New Roman" w:eastAsia="Times New Roman" w:hAnsi="Times New Roman"/>
                <w:sz w:val="12"/>
                <w:szCs w:val="12"/>
                <w:color w:val="0000FF"/>
                <w:w w:val="99"/>
              </w:rPr>
              <w:t>Section 1350 Certification of Chief Financial Officer **</w:t>
            </w:r>
          </w:p>
        </w:tc>
        <w:tc>
          <w:tcPr>
            <w:tcW w:w="60" w:type="dxa"/>
            <w:vAlign w:val="bottom"/>
            <w:tcBorders>
              <w:top w:val="single" w:sz="8" w:color="0000FF"/>
              <w:bottom w:val="single" w:sz="8" w:color="0000EE"/>
            </w:tcBorders>
          </w:tcPr>
          <w:p>
            <w:pPr>
              <w:spacing w:after="0"/>
              <w:rPr>
                <w:sz w:val="9"/>
                <w:szCs w:val="9"/>
                <w:color w:val="auto"/>
              </w:rPr>
            </w:pPr>
          </w:p>
        </w:tc>
        <w:tc>
          <w:tcPr>
            <w:tcW w:w="7180" w:type="dxa"/>
            <w:vAlign w:val="bottom"/>
            <w:tcBorders>
              <w:top w:val="single" w:sz="8" w:color="CCEEFF"/>
            </w:tcBorders>
            <w:gridSpan w:val="7"/>
          </w:tcPr>
          <w:p>
            <w:pPr>
              <w:spacing w:after="0"/>
              <w:rPr>
                <w:sz w:val="9"/>
                <w:szCs w:val="9"/>
                <w:color w:val="auto"/>
              </w:rPr>
            </w:pPr>
          </w:p>
        </w:tc>
      </w:tr>
    </w:tbl>
    <w:p>
      <w:pPr>
        <w:ind w:left="1368" w:right="200" w:hanging="1359"/>
        <w:spacing w:after="0" w:line="230" w:lineRule="auto"/>
        <w:tabs>
          <w:tab w:leader="none" w:pos="1368"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financial information from Koss Corporation's Quarterly Report on Form 10-Q for the quarter ended March 31, 2024, formatted in XBRL (eXtensible Business Reporting Language): (i) Condensed Consolidated Balance Sheets as of March 31, 2024 and June 30, 2023, (ii) Condensed Consolidated Statements of Operations (Unaudited) for the three and nine months ended March 31, 2024 and 2023 (iii) Condensed Consolidated Statements of Cash Flows (Unaudited) for the nine months ended March 31, 2024 and 2023, (iv) Condensed Consolidated Statements of Stockholders' Equity (Unaudited) for the three and nine months ended March 31, 2024 and 2023 and (v) the Notes to Condensed Consolidated Financial Statements (Unaudited).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-329565</wp:posOffset>
            </wp:positionV>
            <wp:extent cx="7178040" cy="3314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78040" cy="331470"/>
                    </a:xfrm>
                    <a:prstGeom prst="rect">
                      <a:avLst/>
                    </a:prstGeom>
                    <a:noFill/>
                  </pic:spPr>
                </pic:pic>
              </a:graphicData>
            </a:graphic>
          </wp:anchor>
        </w:drawing>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__________________________</w:t>
      </w:r>
    </w:p>
    <w:p>
      <w:pPr>
        <w:spacing w:after="0" w:line="123" w:lineRule="exact"/>
        <w:rPr>
          <w:sz w:val="20"/>
          <w:szCs w:val="20"/>
          <w:color w:val="auto"/>
        </w:rPr>
      </w:pPr>
    </w:p>
    <w:p>
      <w:pPr>
        <w:ind w:left="8"/>
        <w:spacing w:after="0"/>
        <w:tabs>
          <w:tab w:leader="none" w:pos="168" w:val="left"/>
        </w:tabs>
        <w:rPr>
          <w:sz w:val="20"/>
          <w:szCs w:val="20"/>
          <w:color w:val="auto"/>
        </w:rPr>
      </w:pPr>
      <w:r>
        <w:rPr>
          <w:rFonts w:ascii="Times New Roman" w:cs="Times New Roman" w:eastAsia="Times New Roman" w:hAnsi="Times New Roman"/>
          <w:sz w:val="12"/>
          <w:szCs w:val="12"/>
          <w:color w:val="auto"/>
        </w:rPr>
        <w:t>*</w:t>
      </w:r>
      <w:r>
        <w:rPr>
          <w:sz w:val="20"/>
          <w:szCs w:val="20"/>
          <w:color w:val="auto"/>
        </w:rPr>
        <w:tab/>
      </w:r>
      <w:r>
        <w:rPr>
          <w:rFonts w:ascii="Times New Roman" w:cs="Times New Roman" w:eastAsia="Times New Roman" w:hAnsi="Times New Roman"/>
          <w:sz w:val="11"/>
          <w:szCs w:val="11"/>
          <w:color w:val="auto"/>
        </w:rPr>
        <w:t>Filed herewith</w:t>
      </w:r>
    </w:p>
    <w:p>
      <w:pPr>
        <w:ind w:left="8"/>
        <w:spacing w:after="0" w:line="234" w:lineRule="auto"/>
        <w:rPr>
          <w:sz w:val="20"/>
          <w:szCs w:val="20"/>
          <w:color w:val="auto"/>
        </w:rPr>
      </w:pPr>
      <w:r>
        <w:rPr>
          <w:rFonts w:ascii="Times New Roman" w:cs="Times New Roman" w:eastAsia="Times New Roman" w:hAnsi="Times New Roman"/>
          <w:sz w:val="12"/>
          <w:szCs w:val="12"/>
          <w:color w:val="auto"/>
        </w:rPr>
        <w:t>** Furnished herewith</w:t>
      </w:r>
    </w:p>
    <w:p>
      <w:pPr>
        <w:ind w:left="188" w:hanging="188"/>
        <w:spacing w:after="0"/>
        <w:tabs>
          <w:tab w:leader="none" w:pos="18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contract or compensatory plan</w:t>
      </w:r>
    </w:p>
    <w:p>
      <w:pPr>
        <w:spacing w:after="0" w:line="2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215265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0"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FF"/>
        </w:rPr>
        <w:t>Table of Contents</w:t>
      </w:r>
    </w:p>
    <w:p>
      <w:pPr>
        <w:spacing w:after="0" w:line="24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2"/>
          <w:szCs w:val="12"/>
          <w:color w:val="auto"/>
        </w:rPr>
        <w:t>SIGNATURES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Pursuant to the requirements of the Securities and Exchange Act of 1934, the registrant has duly caused this report to be signed on its behalf by the undersigned thereunto duly authorized.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KOSS CORPORATION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Michael J. Koss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174879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748790" cy="5715"/>
                    </a:xfrm>
                    <a:prstGeom prst="rect">
                      <a:avLst/>
                    </a:prstGeom>
                    <a:noFill/>
                  </pic:spPr>
                </pic:pic>
              </a:graphicData>
            </a:graphic>
          </wp:anchor>
        </w:drawing>
      </w:r>
    </w:p>
    <w:p>
      <w:pPr>
        <w:spacing w:after="0" w:line="219" w:lineRule="auto"/>
        <w:rPr>
          <w:sz w:val="20"/>
          <w:szCs w:val="20"/>
          <w:color w:val="auto"/>
        </w:rPr>
      </w:pPr>
      <w:r>
        <w:rPr>
          <w:rFonts w:ascii="Times New Roman" w:cs="Times New Roman" w:eastAsia="Times New Roman" w:hAnsi="Times New Roman"/>
          <w:sz w:val="12"/>
          <w:szCs w:val="12"/>
          <w:color w:val="auto"/>
        </w:rPr>
        <w:t>Chairman</w:t>
      </w:r>
    </w:p>
    <w:p>
      <w:pPr>
        <w:spacing w:after="0"/>
        <w:rPr>
          <w:sz w:val="20"/>
          <w:szCs w:val="20"/>
          <w:color w:val="auto"/>
        </w:rPr>
      </w:pPr>
      <w:r>
        <w:rPr>
          <w:rFonts w:ascii="Times New Roman" w:cs="Times New Roman" w:eastAsia="Times New Roman" w:hAnsi="Times New Roman"/>
          <w:sz w:val="12"/>
          <w:szCs w:val="12"/>
          <w:color w:val="auto"/>
        </w:rPr>
        <w:t>Chief Executive Officer</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Kim M. Schulte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Kim M. Schulte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-80010</wp:posOffset>
            </wp:positionV>
            <wp:extent cx="174879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1748790" cy="5715"/>
                    </a:xfrm>
                    <a:prstGeom prst="rect">
                      <a:avLst/>
                    </a:prstGeom>
                    <a:noFill/>
                  </pic:spPr>
                </pic:pic>
              </a:graphicData>
            </a:graphic>
          </wp:anchor>
        </w:drawing>
      </w:r>
    </w:p>
    <w:p>
      <w:pPr>
        <w:spacing w:after="0" w:line="219" w:lineRule="auto"/>
        <w:rPr>
          <w:sz w:val="20"/>
          <w:szCs w:val="20"/>
          <w:color w:val="auto"/>
        </w:rPr>
      </w:pPr>
      <w:r>
        <w:rPr>
          <w:rFonts w:ascii="Times New Roman" w:cs="Times New Roman" w:eastAsia="Times New Roman" w:hAnsi="Times New Roman"/>
          <w:sz w:val="12"/>
          <w:szCs w:val="12"/>
          <w:color w:val="auto"/>
        </w:rPr>
        <w:t>Chief Financial Officer</w:t>
      </w:r>
    </w:p>
    <w:p>
      <w:pPr>
        <w:spacing w:after="0"/>
        <w:rPr>
          <w:sz w:val="20"/>
          <w:szCs w:val="20"/>
          <w:color w:val="auto"/>
        </w:rPr>
      </w:pPr>
      <w:r>
        <w:rPr>
          <w:rFonts w:ascii="Times New Roman" w:cs="Times New Roman" w:eastAsia="Times New Roman" w:hAnsi="Times New Roman"/>
          <w:sz w:val="12"/>
          <w:szCs w:val="12"/>
          <w:color w:val="auto"/>
        </w:rPr>
        <w:t>Principal Accounting Officer</w:t>
      </w:r>
    </w:p>
    <w:p>
      <w:pPr>
        <w:spacing w:after="0" w:line="36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May 10, 2024</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May 10, 2024</w:t>
      </w:r>
    </w:p>
    <w:p>
      <w:pPr>
        <w:sectPr>
          <w:pgSz w:w="11900" w:h="16838" w:orient="portrait"/>
          <w:cols w:equalWidth="0" w:num="2">
            <w:col w:w="9080" w:space="720"/>
            <w:col w:w="680"/>
          </w:cols>
          <w:pgMar w:left="300" w:top="120" w:right="11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I, Michael J. Koss, certify that:</w:t>
      </w:r>
    </w:p>
    <w:p>
      <w:pPr>
        <w:spacing w:after="0" w:line="123" w:lineRule="exact"/>
        <w:rPr>
          <w:sz w:val="20"/>
          <w:szCs w:val="20"/>
          <w:color w:val="auto"/>
        </w:rPr>
      </w:pPr>
    </w:p>
    <w:p>
      <w:pPr>
        <w:ind w:left="520" w:hanging="219"/>
        <w:spacing w:after="0"/>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Koss Corporation;</w:t>
      </w:r>
    </w:p>
    <w:p>
      <w:pPr>
        <w:spacing w:after="0" w:line="123" w:lineRule="exact"/>
        <w:rPr>
          <w:rFonts w:ascii="Times New Roman" w:cs="Times New Roman" w:eastAsia="Times New Roman" w:hAnsi="Times New Roman"/>
          <w:sz w:val="12"/>
          <w:szCs w:val="12"/>
          <w:color w:val="auto"/>
        </w:rPr>
      </w:pPr>
    </w:p>
    <w:p>
      <w:pPr>
        <w:ind w:left="520" w:right="400" w:hanging="219"/>
        <w:spacing w:after="0" w:line="236" w:lineRule="auto"/>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2"/>
          <w:szCs w:val="12"/>
          <w:color w:val="auto"/>
        </w:rPr>
      </w:pPr>
    </w:p>
    <w:p>
      <w:pPr>
        <w:ind w:left="520" w:right="220" w:hanging="219"/>
        <w:spacing w:after="0" w:line="236" w:lineRule="auto"/>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Times New Roman" w:cs="Times New Roman" w:eastAsia="Times New Roman" w:hAnsi="Times New Roman"/>
          <w:sz w:val="12"/>
          <w:szCs w:val="12"/>
          <w:color w:val="auto"/>
        </w:rPr>
      </w:pPr>
    </w:p>
    <w:p>
      <w:pPr>
        <w:ind w:left="520" w:right="100" w:hanging="219"/>
        <w:spacing w:after="0" w:line="236" w:lineRule="auto"/>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2"/>
          <w:szCs w:val="12"/>
          <w:color w:val="auto"/>
        </w:rPr>
      </w:pPr>
    </w:p>
    <w:p>
      <w:pPr>
        <w:ind w:left="740" w:right="160" w:hanging="218"/>
        <w:spacing w:after="0" w:line="236" w:lineRule="auto"/>
        <w:tabs>
          <w:tab w:leader="none" w:pos="737"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p>
    <w:p>
      <w:pPr>
        <w:spacing w:after="0" w:line="115" w:lineRule="exact"/>
        <w:rPr>
          <w:rFonts w:ascii="Times New Roman" w:cs="Times New Roman" w:eastAsia="Times New Roman" w:hAnsi="Times New Roman"/>
          <w:sz w:val="12"/>
          <w:szCs w:val="12"/>
          <w:color w:val="auto"/>
        </w:rPr>
      </w:pPr>
    </w:p>
    <w:p>
      <w:pPr>
        <w:ind w:left="740" w:right="360" w:hanging="218"/>
        <w:spacing w:after="0" w:line="236" w:lineRule="auto"/>
        <w:tabs>
          <w:tab w:leader="none" w:pos="744"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Times New Roman" w:cs="Times New Roman" w:eastAsia="Times New Roman" w:hAnsi="Times New Roman"/>
          <w:sz w:val="12"/>
          <w:szCs w:val="12"/>
          <w:color w:val="auto"/>
        </w:rPr>
      </w:pPr>
    </w:p>
    <w:p>
      <w:pPr>
        <w:ind w:left="740" w:right="160" w:hanging="218"/>
        <w:spacing w:after="0" w:line="248" w:lineRule="auto"/>
        <w:tabs>
          <w:tab w:leader="none" w:pos="737"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2"/>
          <w:szCs w:val="12"/>
          <w:color w:val="auto"/>
        </w:rPr>
      </w:pPr>
    </w:p>
    <w:p>
      <w:pPr>
        <w:ind w:left="740" w:right="220" w:hanging="218"/>
        <w:spacing w:after="0" w:line="236" w:lineRule="auto"/>
        <w:tabs>
          <w:tab w:leader="none" w:pos="744"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2"/>
          <w:szCs w:val="12"/>
          <w:color w:val="auto"/>
        </w:rPr>
      </w:pPr>
    </w:p>
    <w:p>
      <w:pPr>
        <w:ind w:left="520" w:right="520" w:hanging="219"/>
        <w:spacing w:after="0" w:line="236" w:lineRule="auto"/>
        <w:tabs>
          <w:tab w:leader="none" w:pos="520" w:val="left"/>
        </w:tabs>
        <w:numPr>
          <w:ilvl w:val="0"/>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Times New Roman" w:cs="Times New Roman" w:eastAsia="Times New Roman" w:hAnsi="Times New Roman"/>
          <w:sz w:val="12"/>
          <w:szCs w:val="12"/>
          <w:color w:val="auto"/>
        </w:rPr>
      </w:pPr>
    </w:p>
    <w:p>
      <w:pPr>
        <w:ind w:left="740" w:right="440" w:hanging="218"/>
        <w:spacing w:after="0" w:line="236" w:lineRule="auto"/>
        <w:tabs>
          <w:tab w:leader="none" w:pos="73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2"/>
          <w:szCs w:val="12"/>
          <w:color w:val="auto"/>
        </w:rPr>
      </w:pPr>
    </w:p>
    <w:p>
      <w:pPr>
        <w:ind w:left="740" w:hanging="218"/>
        <w:spacing w:after="0"/>
        <w:tabs>
          <w:tab w:leader="none" w:pos="740" w:val="left"/>
        </w:tabs>
        <w:numPr>
          <w:ilvl w:val="1"/>
          <w:numId w:val="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10, 2024</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126873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1268730" cy="5715"/>
                    </a:xfrm>
                    <a:prstGeom prst="rect">
                      <a:avLst/>
                    </a:prstGeom>
                    <a:noFill/>
                  </pic:spPr>
                </pic:pic>
              </a:graphicData>
            </a:graphic>
          </wp:anchor>
        </w:drawing>
      </w:r>
    </w:p>
    <w:p>
      <w:pPr>
        <w:spacing w:after="0" w:line="203" w:lineRule="auto"/>
        <w:rPr>
          <w:sz w:val="20"/>
          <w:szCs w:val="20"/>
          <w:color w:val="auto"/>
        </w:rPr>
      </w:pPr>
      <w:r>
        <w:rPr>
          <w:rFonts w:ascii="Times New Roman" w:cs="Times New Roman" w:eastAsia="Times New Roman" w:hAnsi="Times New Roman"/>
          <w:sz w:val="12"/>
          <w:szCs w:val="12"/>
          <w:color w:val="auto"/>
        </w:rPr>
        <w:t>Michael J. Koss</w:t>
      </w:r>
    </w:p>
    <w:p>
      <w:pPr>
        <w:spacing w:after="0"/>
        <w:rPr>
          <w:sz w:val="20"/>
          <w:szCs w:val="20"/>
          <w:color w:val="auto"/>
        </w:rPr>
      </w:pPr>
      <w:r>
        <w:rPr>
          <w:rFonts w:ascii="Times New Roman" w:cs="Times New Roman" w:eastAsia="Times New Roman" w:hAnsi="Times New Roman"/>
          <w:sz w:val="12"/>
          <w:szCs w:val="12"/>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144780</wp:posOffset>
            </wp:positionV>
            <wp:extent cx="666623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6666230" cy="42545"/>
                    </a:xfrm>
                    <a:prstGeom prst="rect">
                      <a:avLst/>
                    </a:prstGeom>
                    <a:noFill/>
                  </pic:spPr>
                </pic:pic>
              </a:graphicData>
            </a:graphic>
          </wp:anchor>
        </w:drawing>
      </w:r>
    </w:p>
    <w:p>
      <w:pPr>
        <w:sectPr>
          <w:pgSz w:w="11900" w:h="16838" w:orient="portrait"/>
          <w:cols w:equalWidth="0" w:num="1">
            <w:col w:w="10440"/>
          </w:cols>
          <w:pgMar w:left="720" w:top="115" w:right="7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1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jc w:val="center"/>
        <w:spacing w:after="0"/>
        <w:rPr>
          <w:sz w:val="20"/>
          <w:szCs w:val="20"/>
          <w:color w:val="auto"/>
        </w:rPr>
      </w:pPr>
      <w:r>
        <w:rPr>
          <w:rFonts w:ascii="Times New Roman" w:cs="Times New Roman" w:eastAsia="Times New Roman" w:hAnsi="Times New Roman"/>
          <w:sz w:val="12"/>
          <w:szCs w:val="12"/>
          <w:b w:val="1"/>
          <w:bCs w:val="1"/>
          <w:color w:val="auto"/>
        </w:rPr>
        <w:t>Pursuant to Section 302 of the Sarbanes-Oxley Act of 2002</w:t>
      </w:r>
    </w:p>
    <w:p>
      <w:pPr>
        <w:spacing w:after="0" w:line="9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color w:val="auto"/>
        </w:rPr>
        <w:t>I, Kim M. Schulte, certify that:</w:t>
      </w:r>
    </w:p>
    <w:p>
      <w:pPr>
        <w:spacing w:after="0" w:line="123" w:lineRule="exact"/>
        <w:rPr>
          <w:sz w:val="20"/>
          <w:szCs w:val="20"/>
          <w:color w:val="auto"/>
        </w:rPr>
      </w:pPr>
    </w:p>
    <w:p>
      <w:pPr>
        <w:ind w:left="520" w:hanging="219"/>
        <w:spacing w:after="0"/>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quarterly report on Form 10-Q of Koss Corporation;</w:t>
      </w:r>
    </w:p>
    <w:p>
      <w:pPr>
        <w:spacing w:after="0" w:line="123" w:lineRule="exact"/>
        <w:rPr>
          <w:rFonts w:ascii="Times New Roman" w:cs="Times New Roman" w:eastAsia="Times New Roman" w:hAnsi="Times New Roman"/>
          <w:sz w:val="12"/>
          <w:szCs w:val="12"/>
          <w:color w:val="auto"/>
        </w:rPr>
      </w:pPr>
    </w:p>
    <w:p>
      <w:pPr>
        <w:ind w:left="520" w:right="400" w:hanging="219"/>
        <w:spacing w:after="0" w:line="236" w:lineRule="auto"/>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2"/>
          <w:szCs w:val="12"/>
          <w:color w:val="auto"/>
        </w:rPr>
      </w:pPr>
    </w:p>
    <w:p>
      <w:pPr>
        <w:ind w:left="520" w:right="220" w:hanging="219"/>
        <w:spacing w:after="0" w:line="236" w:lineRule="auto"/>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condensed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Times New Roman" w:cs="Times New Roman" w:eastAsia="Times New Roman" w:hAnsi="Times New Roman"/>
          <w:sz w:val="12"/>
          <w:szCs w:val="12"/>
          <w:color w:val="auto"/>
        </w:rPr>
      </w:pPr>
    </w:p>
    <w:p>
      <w:pPr>
        <w:ind w:left="520" w:right="100" w:hanging="219"/>
        <w:spacing w:after="0" w:line="236" w:lineRule="auto"/>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2"/>
          <w:szCs w:val="12"/>
          <w:color w:val="auto"/>
        </w:rPr>
      </w:pPr>
    </w:p>
    <w:p>
      <w:pPr>
        <w:ind w:left="740" w:right="160" w:hanging="218"/>
        <w:spacing w:after="0" w:line="236" w:lineRule="auto"/>
        <w:tabs>
          <w:tab w:leader="none" w:pos="737"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my supervision, to ensure that material information relating to the registrant, including its subsidiary, is made known to me by others within those entities, particularly during the period in which this report is being prepared;</w:t>
      </w:r>
    </w:p>
    <w:p>
      <w:pPr>
        <w:spacing w:after="0" w:line="115" w:lineRule="exact"/>
        <w:rPr>
          <w:rFonts w:ascii="Times New Roman" w:cs="Times New Roman" w:eastAsia="Times New Roman" w:hAnsi="Times New Roman"/>
          <w:sz w:val="12"/>
          <w:szCs w:val="12"/>
          <w:color w:val="auto"/>
        </w:rPr>
      </w:pPr>
    </w:p>
    <w:p>
      <w:pPr>
        <w:ind w:left="740" w:right="360" w:hanging="218"/>
        <w:spacing w:after="0" w:line="236" w:lineRule="auto"/>
        <w:tabs>
          <w:tab w:leader="none" w:pos="744"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06" w:lineRule="exact"/>
        <w:rPr>
          <w:rFonts w:ascii="Times New Roman" w:cs="Times New Roman" w:eastAsia="Times New Roman" w:hAnsi="Times New Roman"/>
          <w:sz w:val="12"/>
          <w:szCs w:val="12"/>
          <w:color w:val="auto"/>
        </w:rPr>
      </w:pPr>
    </w:p>
    <w:p>
      <w:pPr>
        <w:ind w:left="740" w:right="160" w:hanging="218"/>
        <w:spacing w:after="0" w:line="248" w:lineRule="auto"/>
        <w:tabs>
          <w:tab w:leader="none" w:pos="737"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01" w:lineRule="exact"/>
        <w:rPr>
          <w:rFonts w:ascii="Times New Roman" w:cs="Times New Roman" w:eastAsia="Times New Roman" w:hAnsi="Times New Roman"/>
          <w:sz w:val="12"/>
          <w:szCs w:val="12"/>
          <w:color w:val="auto"/>
        </w:rPr>
      </w:pPr>
    </w:p>
    <w:p>
      <w:pPr>
        <w:ind w:left="740" w:right="220" w:hanging="218"/>
        <w:spacing w:after="0" w:line="236" w:lineRule="auto"/>
        <w:tabs>
          <w:tab w:leader="none" w:pos="744"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2"/>
          <w:szCs w:val="12"/>
          <w:color w:val="auto"/>
        </w:rPr>
      </w:pPr>
    </w:p>
    <w:p>
      <w:pPr>
        <w:ind w:left="520" w:right="520" w:hanging="219"/>
        <w:spacing w:after="0" w:line="236" w:lineRule="auto"/>
        <w:tabs>
          <w:tab w:leader="none" w:pos="52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Times New Roman" w:cs="Times New Roman" w:eastAsia="Times New Roman" w:hAnsi="Times New Roman"/>
          <w:sz w:val="12"/>
          <w:szCs w:val="12"/>
          <w:color w:val="auto"/>
        </w:rPr>
      </w:pPr>
    </w:p>
    <w:p>
      <w:pPr>
        <w:ind w:left="740" w:right="440" w:hanging="218"/>
        <w:spacing w:after="0" w:line="236" w:lineRule="auto"/>
        <w:tabs>
          <w:tab w:leader="none" w:pos="73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6" w:lineRule="exact"/>
        <w:rPr>
          <w:rFonts w:ascii="Times New Roman" w:cs="Times New Roman" w:eastAsia="Times New Roman" w:hAnsi="Times New Roman"/>
          <w:sz w:val="12"/>
          <w:szCs w:val="12"/>
          <w:color w:val="auto"/>
        </w:rPr>
      </w:pPr>
    </w:p>
    <w:p>
      <w:pPr>
        <w:ind w:left="740" w:hanging="218"/>
        <w:spacing w:after="0"/>
        <w:tabs>
          <w:tab w:leader="none" w:pos="740" w:val="left"/>
        </w:tabs>
        <w:numPr>
          <w:ilvl w:val="1"/>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May 10,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Kim M. Schulte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126873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268730" cy="5715"/>
                    </a:xfrm>
                    <a:prstGeom prst="rect">
                      <a:avLst/>
                    </a:prstGeom>
                    <a:noFill/>
                  </pic:spPr>
                </pic:pic>
              </a:graphicData>
            </a:graphic>
          </wp:anchor>
        </w:drawing>
      </w:r>
    </w:p>
    <w:p>
      <w:pPr>
        <w:spacing w:after="0" w:line="234" w:lineRule="auto"/>
        <w:rPr>
          <w:sz w:val="20"/>
          <w:szCs w:val="20"/>
          <w:color w:val="auto"/>
        </w:rPr>
      </w:pPr>
      <w:r>
        <w:rPr>
          <w:rFonts w:ascii="Times New Roman" w:cs="Times New Roman" w:eastAsia="Times New Roman" w:hAnsi="Times New Roman"/>
          <w:sz w:val="12"/>
          <w:szCs w:val="12"/>
          <w:color w:val="auto"/>
        </w:rPr>
        <w:t>Kim M. Schulte</w:t>
      </w:r>
    </w:p>
    <w:p>
      <w:pPr>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150495</wp:posOffset>
            </wp:positionV>
            <wp:extent cx="666623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666230" cy="42545"/>
                    </a:xfrm>
                    <a:prstGeom prst="rect">
                      <a:avLst/>
                    </a:prstGeom>
                    <a:noFill/>
                  </pic:spPr>
                </pic:pic>
              </a:graphicData>
            </a:graphic>
          </wp:anchor>
        </w:drawing>
      </w:r>
    </w:p>
    <w:p>
      <w:pPr>
        <w:sectPr>
          <w:pgSz w:w="11900" w:h="16838" w:orient="portrait"/>
          <w:cols w:equalWidth="0" w:num="1">
            <w:col w:w="10440"/>
          </w:cols>
          <w:pgMar w:left="720" w:top="115" w:right="7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1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Certification of Chief Executive Officer</w:t>
      </w:r>
    </w:p>
    <w:p>
      <w:pPr>
        <w:jc w:val="center"/>
        <w:ind w:right="80"/>
        <w:spacing w:after="0" w:line="203" w:lineRule="auto"/>
        <w:rPr>
          <w:sz w:val="20"/>
          <w:szCs w:val="20"/>
          <w:color w:val="auto"/>
        </w:rPr>
      </w:pPr>
      <w:r>
        <w:rPr>
          <w:rFonts w:ascii="Times New Roman" w:cs="Times New Roman" w:eastAsia="Times New Roman" w:hAnsi="Times New Roman"/>
          <w:sz w:val="12"/>
          <w:szCs w:val="12"/>
          <w:b w:val="1"/>
          <w:bCs w:val="1"/>
          <w:color w:val="auto"/>
        </w:rPr>
        <w:t>Pursuant to Section 906 of the Sarbanes-Oxley Act of 2002,</w:t>
      </w: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Michael J. Koss, Chief Executive Officer of Koss Corporation (the “Company”), hereby certify, pursuant to Section 906 of the Sarbanes-Oxley Act of 2002, 18 U.S.C. Section 1350 that to my knowledge:</w:t>
      </w:r>
    </w:p>
    <w:p>
      <w:pPr>
        <w:spacing w:after="0" w:line="105" w:lineRule="exact"/>
        <w:rPr>
          <w:sz w:val="20"/>
          <w:szCs w:val="20"/>
          <w:color w:val="auto"/>
        </w:rPr>
      </w:pPr>
    </w:p>
    <w:p>
      <w:pPr>
        <w:ind w:left="420" w:right="440" w:hanging="219"/>
        <w:spacing w:after="0" w:line="236" w:lineRule="auto"/>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Quarterly Report on Form 10-Q of the Company for the quarter ended March 31, 2024 (the “Report”) fully complies with the requirements of Section 13(a) or Section 15(d), as applicable, of the Securities Exchange Act of 1934, as amended; and</w:t>
      </w:r>
    </w:p>
    <w:p>
      <w:pPr>
        <w:spacing w:after="0" w:line="115" w:lineRule="exact"/>
        <w:rPr>
          <w:rFonts w:ascii="Times New Roman" w:cs="Times New Roman" w:eastAsia="Times New Roman" w:hAnsi="Times New Roman"/>
          <w:sz w:val="12"/>
          <w:szCs w:val="12"/>
          <w:color w:val="auto"/>
        </w:rPr>
      </w:pPr>
    </w:p>
    <w:p>
      <w:pPr>
        <w:ind w:left="420" w:hanging="219"/>
        <w:spacing w:after="0"/>
        <w:tabs>
          <w:tab w:leader="none" w:pos="420"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2"/>
          <w:szCs w:val="12"/>
          <w:color w:val="auto"/>
        </w:rPr>
        <w:t>/s/ Michael J. Koss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5299710</wp:posOffset>
            </wp:positionH>
            <wp:positionV relativeFrom="paragraph">
              <wp:posOffset>0</wp:posOffset>
            </wp:positionV>
            <wp:extent cx="126873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268730" cy="5715"/>
                    </a:xfrm>
                    <a:prstGeom prst="rect">
                      <a:avLst/>
                    </a:prstGeom>
                    <a:noFill/>
                  </pic:spPr>
                </pic:pic>
              </a:graphicData>
            </a:graphic>
          </wp:anchor>
        </w:drawing>
      </w:r>
    </w:p>
    <w:p>
      <w:pPr>
        <w:ind w:left="8340"/>
        <w:spacing w:after="0" w:line="203" w:lineRule="auto"/>
        <w:rPr>
          <w:sz w:val="20"/>
          <w:szCs w:val="20"/>
          <w:color w:val="auto"/>
        </w:rPr>
      </w:pPr>
      <w:r>
        <w:rPr>
          <w:rFonts w:ascii="Times New Roman" w:cs="Times New Roman" w:eastAsia="Times New Roman" w:hAnsi="Times New Roman"/>
          <w:sz w:val="12"/>
          <w:szCs w:val="12"/>
          <w:color w:val="auto"/>
        </w:rPr>
        <w:t>Michael J. Koss</w:t>
      </w:r>
    </w:p>
    <w:p>
      <w:pPr>
        <w:ind w:left="8340"/>
        <w:spacing w:after="0" w:line="203" w:lineRule="auto"/>
        <w:rPr>
          <w:sz w:val="20"/>
          <w:szCs w:val="20"/>
          <w:color w:val="auto"/>
        </w:rPr>
      </w:pPr>
      <w:r>
        <w:rPr>
          <w:rFonts w:ascii="Times New Roman" w:cs="Times New Roman" w:eastAsia="Times New Roman" w:hAnsi="Times New Roman"/>
          <w:sz w:val="12"/>
          <w:szCs w:val="12"/>
          <w:color w:val="auto"/>
        </w:rPr>
        <w:t>Chairman and Chief Executive Officer</w:t>
      </w:r>
    </w:p>
    <w:p>
      <w:pPr>
        <w:spacing w:after="0" w:line="1" w:lineRule="exact"/>
        <w:rPr>
          <w:sz w:val="20"/>
          <w:szCs w:val="20"/>
          <w:color w:val="auto"/>
        </w:rPr>
      </w:pPr>
    </w:p>
    <w:p>
      <w:pPr>
        <w:ind w:left="8340"/>
        <w:spacing w:after="0"/>
        <w:rPr>
          <w:sz w:val="20"/>
          <w:szCs w:val="20"/>
          <w:color w:val="auto"/>
        </w:rPr>
      </w:pPr>
      <w:r>
        <w:rPr>
          <w:rFonts w:ascii="Times New Roman" w:cs="Times New Roman" w:eastAsia="Times New Roman" w:hAnsi="Times New Roman"/>
          <w:sz w:val="12"/>
          <w:szCs w:val="12"/>
          <w:color w:val="auto"/>
        </w:rPr>
        <w:t>Dated: May 10, 2024</w:t>
      </w:r>
    </w:p>
    <w:p>
      <w:pPr>
        <w:spacing w:after="0" w:line="84"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2"/>
          <w:szCs w:val="12"/>
          <w:color w:val="auto"/>
        </w:rPr>
        <w:t>Note: This certification accompanies the Report pursuant to Section 906 of the Sarbanes-Oxley Act of 2002 and shall not be deemed filed, except to the extent required by the Sarbanes-Oxley Act of 2002,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147955</wp:posOffset>
            </wp:positionV>
            <wp:extent cx="666623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666230" cy="42545"/>
                    </a:xfrm>
                    <a:prstGeom prst="rect">
                      <a:avLst/>
                    </a:prstGeom>
                    <a:noFill/>
                  </pic:spPr>
                </pic:pic>
              </a:graphicData>
            </a:graphic>
          </wp:anchor>
        </w:drawing>
      </w:r>
    </w:p>
    <w:p>
      <w:pPr>
        <w:sectPr>
          <w:pgSz w:w="11900" w:h="16838" w:orient="portrait"/>
          <w:cols w:equalWidth="0" w:num="1">
            <w:col w:w="10340"/>
          </w:cols>
          <w:pgMar w:left="820" w:top="115" w:right="7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10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Certification of Chief Financial Officer</w:t>
      </w:r>
    </w:p>
    <w:p>
      <w:pPr>
        <w:jc w:val="center"/>
        <w:ind w:right="120"/>
        <w:spacing w:after="0" w:line="203" w:lineRule="auto"/>
        <w:rPr>
          <w:sz w:val="20"/>
          <w:szCs w:val="20"/>
          <w:color w:val="auto"/>
        </w:rPr>
      </w:pPr>
      <w:r>
        <w:rPr>
          <w:rFonts w:ascii="Times New Roman" w:cs="Times New Roman" w:eastAsia="Times New Roman" w:hAnsi="Times New Roman"/>
          <w:sz w:val="12"/>
          <w:szCs w:val="12"/>
          <w:b w:val="1"/>
          <w:bCs w:val="1"/>
          <w:color w:val="auto"/>
        </w:rPr>
        <w:t>Pursuant to Section 906 of the Sarbanes-Oxley Act of 2002,</w:t>
      </w: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9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1"/>
          <w:szCs w:val="11"/>
          <w:color w:val="auto"/>
        </w:rPr>
        <w:t>I, Kim M. Schulte, Chief Financial Officer of Koss Corporation (the “Company”), hereby certify, pursuant to Section 906 of the Sarbanes-Oxley Act of 2002, 18 U.S.C. Section 1350 that to my knowledge:</w:t>
      </w:r>
    </w:p>
    <w:p>
      <w:pPr>
        <w:spacing w:after="0" w:line="117" w:lineRule="exact"/>
        <w:rPr>
          <w:sz w:val="20"/>
          <w:szCs w:val="20"/>
          <w:color w:val="auto"/>
        </w:rPr>
      </w:pPr>
    </w:p>
    <w:p>
      <w:pPr>
        <w:ind w:left="420" w:right="440" w:hanging="219"/>
        <w:spacing w:after="0" w:line="236" w:lineRule="auto"/>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Quarterly Report on Form 10-Q of the Company for the quarter ended March 31, 2024 (the “Report”) fully complies with the requirements of Section 13(a) or Section 15(d), as applicable, of the Securities Exchange Act of 1934, as amended; and</w:t>
      </w:r>
    </w:p>
    <w:p>
      <w:pPr>
        <w:spacing w:after="0" w:line="115" w:lineRule="exact"/>
        <w:rPr>
          <w:rFonts w:ascii="Times New Roman" w:cs="Times New Roman" w:eastAsia="Times New Roman" w:hAnsi="Times New Roman"/>
          <w:sz w:val="12"/>
          <w:szCs w:val="12"/>
          <w:color w:val="auto"/>
        </w:rPr>
      </w:pPr>
    </w:p>
    <w:p>
      <w:pPr>
        <w:ind w:left="420" w:hanging="219"/>
        <w:spacing w:after="0"/>
        <w:tabs>
          <w:tab w:leader="none" w:pos="42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2"/>
          <w:szCs w:val="12"/>
          <w:color w:val="auto"/>
        </w:rPr>
        <w:t>/s/ Kim M. Schulte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5334000</wp:posOffset>
            </wp:positionH>
            <wp:positionV relativeFrom="paragraph">
              <wp:posOffset>0</wp:posOffset>
            </wp:positionV>
            <wp:extent cx="12344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234440" cy="5715"/>
                    </a:xfrm>
                    <a:prstGeom prst="rect">
                      <a:avLst/>
                    </a:prstGeom>
                    <a:noFill/>
                  </pic:spPr>
                </pic:pic>
              </a:graphicData>
            </a:graphic>
          </wp:anchor>
        </w:drawing>
      </w:r>
    </w:p>
    <w:p>
      <w:pPr>
        <w:ind w:left="8400"/>
        <w:spacing w:after="0" w:line="203" w:lineRule="auto"/>
        <w:rPr>
          <w:sz w:val="20"/>
          <w:szCs w:val="20"/>
          <w:color w:val="auto"/>
        </w:rPr>
      </w:pPr>
      <w:r>
        <w:rPr>
          <w:rFonts w:ascii="Times New Roman" w:cs="Times New Roman" w:eastAsia="Times New Roman" w:hAnsi="Times New Roman"/>
          <w:sz w:val="12"/>
          <w:szCs w:val="12"/>
          <w:color w:val="auto"/>
        </w:rPr>
        <w:t>Kim M. Schulte</w:t>
      </w:r>
    </w:p>
    <w:p>
      <w:pPr>
        <w:ind w:left="8400"/>
        <w:spacing w:after="0" w:line="203" w:lineRule="auto"/>
        <w:rPr>
          <w:sz w:val="20"/>
          <w:szCs w:val="20"/>
          <w:color w:val="auto"/>
        </w:rPr>
      </w:pPr>
      <w:r>
        <w:rPr>
          <w:rFonts w:ascii="Times New Roman" w:cs="Times New Roman" w:eastAsia="Times New Roman" w:hAnsi="Times New Roman"/>
          <w:sz w:val="12"/>
          <w:szCs w:val="12"/>
          <w:color w:val="auto"/>
        </w:rPr>
        <w:t>Chief Financial Officer</w:t>
      </w:r>
    </w:p>
    <w:p>
      <w:pPr>
        <w:spacing w:after="0" w:line="1"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2"/>
          <w:szCs w:val="12"/>
          <w:color w:val="auto"/>
        </w:rPr>
        <w:t>Dated: May 10, 2024</w:t>
      </w:r>
    </w:p>
    <w:p>
      <w:pPr>
        <w:spacing w:after="0" w:line="84"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2"/>
          <w:szCs w:val="12"/>
          <w:color w:val="auto"/>
        </w:rPr>
        <w:t>Note: This certification accompanies the Report pursuant to Section 906 of the Sarbanes-Oxley Act of 2002 and shall not be deemed filed, except to the extent required by the Sarbanes-Oxley Act of 2002, by the Company for purposes of Section 18 of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-73025</wp:posOffset>
            </wp:positionH>
            <wp:positionV relativeFrom="paragraph">
              <wp:posOffset>147955</wp:posOffset>
            </wp:positionV>
            <wp:extent cx="666623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666230" cy="42545"/>
                    </a:xfrm>
                    <a:prstGeom prst="rect">
                      <a:avLst/>
                    </a:prstGeom>
                    <a:noFill/>
                  </pic:spPr>
                </pic:pic>
              </a:graphicData>
            </a:graphic>
          </wp:anchor>
        </w:drawing>
      </w:r>
    </w:p>
    <w:sectPr>
      <w:pgSz w:w="11900" w:h="16838" w:orient="portrait"/>
      <w:cols w:equalWidth="0" w:num="1">
        <w:col w:w="10340"/>
      </w:cols>
      <w:pgMar w:left="820" w:top="115"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upperLetter"/>
      <w:start w:val="1"/>
    </w:lvl>
  </w:abstractNum>
  <w:abstractNum w:abstractNumId="4">
    <w:nsid w:val="7FDCC233"/>
    <w:multiLevelType w:val="hybridMultilevel"/>
    <w:lvl w:ilvl="0">
      <w:lvlJc w:val="left"/>
      <w:lvlText w:val="%1)"/>
      <w:numFmt w:val="upperLetter"/>
      <w:start w:val="2"/>
    </w:lvl>
  </w:abstractNum>
  <w:abstractNum w:abstractNumId="5">
    <w:nsid w:val="1BEFD79F"/>
    <w:multiLevelType w:val="hybridMultilevel"/>
    <w:lvl w:ilvl="0">
      <w:lvlJc w:val="left"/>
      <w:lvlText w:val="%1)"/>
      <w:numFmt w:val="upperLetter"/>
      <w:start w:val="3"/>
    </w:lvl>
  </w:abstractNum>
  <w:abstractNum w:abstractNumId="6">
    <w:nsid w:val="41A7C4C9"/>
    <w:multiLevelType w:val="hybridMultilevel"/>
    <w:lvl w:ilvl="0">
      <w:lvlJc w:val="left"/>
      <w:lvlText w:val="%1)"/>
      <w:numFmt w:val="upperLetter"/>
      <w:start w:val="4"/>
    </w:lvl>
  </w:abstractNum>
  <w:abstractNum w:abstractNumId="7">
    <w:nsid w:val="6B68079A"/>
    <w:multiLevelType w:val="hybridMultilevel"/>
    <w:lvl w:ilvl="0">
      <w:lvlJc w:val="left"/>
      <w:lvlText w:val="%1)"/>
      <w:numFmt w:val="upperLetter"/>
      <w:start w:val="5"/>
    </w:lvl>
  </w:abstractNum>
  <w:abstractNum w:abstractNumId="8">
    <w:nsid w:val="4E6AFB66"/>
    <w:multiLevelType w:val="hybridMultilevel"/>
    <w:lvl w:ilvl="0">
      <w:lvlJc w:val="left"/>
      <w:lvlText w:val="%1."/>
      <w:numFmt w:val="decimal"/>
      <w:start w:val="2"/>
    </w:lvl>
  </w:abstractNum>
  <w:abstractNum w:abstractNumId="9">
    <w:nsid w:val="25E45D32"/>
    <w:multiLevelType w:val="hybridMultilevel"/>
    <w:lvl w:ilvl="0">
      <w:lvlJc w:val="left"/>
      <w:lvlText w:val="%1."/>
      <w:numFmt w:val="decimal"/>
      <w:start w:val="4"/>
    </w:lvl>
  </w:abstractNum>
  <w:abstractNum w:abstractNumId="10">
    <w:nsid w:val="519B500D"/>
    <w:multiLevelType w:val="hybridMultilevel"/>
    <w:lvl w:ilvl="0">
      <w:lvlJc w:val="left"/>
      <w:lvlText w:val="%1."/>
      <w:numFmt w:val="decimal"/>
      <w:start w:val="5"/>
    </w:lvl>
  </w:abstractNum>
  <w:abstractNum w:abstractNumId="11">
    <w:nsid w:val="431BD7B7"/>
    <w:multiLevelType w:val="hybridMultilevel"/>
    <w:lvl w:ilvl="0">
      <w:lvlJc w:val="left"/>
      <w:lvlText w:val="%1."/>
      <w:numFmt w:val="decimal"/>
      <w:start w:val="6"/>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7"/>
    </w:lvl>
  </w:abstractNum>
  <w:abstractNum w:abstractNumId="14">
    <w:nsid w:val="257130A3"/>
    <w:multiLevelType w:val="hybridMultilevel"/>
    <w:lvl w:ilvl="0">
      <w:lvlJc w:val="left"/>
      <w:lvlText w:val="%1."/>
      <w:numFmt w:val="decimal"/>
      <w:start w:val="9"/>
    </w:lvl>
  </w:abstractNum>
  <w:abstractNum w:abstractNumId="15">
    <w:nsid w:val="62BBD95A"/>
    <w:multiLevelType w:val="hybridMultilevel"/>
    <w:lvl w:ilvl="0">
      <w:lvlJc w:val="left"/>
      <w:lvlText w:val="%1."/>
      <w:numFmt w:val="decimal"/>
      <w:start w:val="1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1"/>
      <w:numFmt w:val="decimal"/>
      <w:start w:val="10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Roman"/>
      <w:start w:val="1"/>
    </w:lvl>
  </w:abstractNum>
  <w:abstractNum w:abstractNumId="23">
    <w:nsid w:val="75A2A8D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42" Type="http://schemas.openxmlformats.org/officeDocument/2006/relationships/hyperlink" Target="http://www.sec.gov/Archives/edgar/data/56701/000110465910007400/a10-3870_1ex3d1.htm" TargetMode="External"/><Relationship Id="rId43" Type="http://schemas.openxmlformats.org/officeDocument/2006/relationships/hyperlink" Target="http://www.sec.gov/Archives/edgar/data/56701/0000950124-96-004183.txt" TargetMode="External"/><Relationship Id="rId44" Type="http://schemas.openxmlformats.org/officeDocument/2006/relationships/hyperlink" Target="http://www.sec.gov/Archives/edgar/data/56701/000118143106017205/rrd110598_12229.htm" TargetMode="External"/><Relationship Id="rId45" Type="http://schemas.openxmlformats.org/officeDocument/2006/relationships/hyperlink" Target="http://www.sec.gov/Archives/edgar/data/56701/000143774920018841/ex_2010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2024-05-10T05:24:03Z</dcterms:created>
  <dcterms:modified xsi:type="dcterms:W3CDTF">2024-05-10T05:24:03Z</dcterms:modified>
</cp:coreProperties>
</file>