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KOSS MICHAEL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KOSS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4129 N. PORT WASHINGTON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KOSS CORP</w:t>
              </w:r>
            </w:hyperlink>
            <w:r>
              <w:rPr/>
              <w:t xml:space="preserve"> [ </w:t>
            </w:r>
            <w:r>
              <w:rPr>
                <w:rFonts w:ascii="Times;serif" w:hAnsi="Times;serif"/>
                <w:color w:val="0000FF"/>
                <w:sz w:val="24"/>
                <w:shd w:fill="FFFFFF" w:val="clear"/>
              </w:rPr>
              <w:t>KOSS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86"/>
        <w:gridCol w:w="901"/>
        <w:gridCol w:w="771"/>
        <w:gridCol w:w="598"/>
        <w:gridCol w:w="345"/>
        <w:gridCol w:w="921"/>
        <w:gridCol w:w="445"/>
        <w:gridCol w:w="607"/>
        <w:gridCol w:w="1266"/>
        <w:gridCol w:w="985"/>
        <w:gridCol w:w="108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As co-trustee of trust for child</w:t>
            </w:r>
            <w:r>
              <w:rPr>
                <w:rFonts w:ascii="Times;serif" w:hAnsi="Times;serif"/>
                <w:color w:val="008000"/>
                <w:position w:val="7"/>
                <w:sz w:val="16"/>
                <w:sz w:val="20"/>
                <w:shd w:fill="FFFFFF" w:val="clear"/>
              </w:rPr>
              <w:t>(2)</w:t>
            </w:r>
            <w:r>
              <w:rPr/>
              <w:t xml:space="preserve"> </w:t>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774,907</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2,696,634</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As voting trustee</w:t>
            </w:r>
            <w:r>
              <w:rPr>
                <w:rFonts w:ascii="Times;serif" w:hAnsi="Times;serif"/>
                <w:color w:val="008000"/>
                <w:position w:val="7"/>
                <w:sz w:val="16"/>
                <w:sz w:val="20"/>
                <w:shd w:fill="FFFFFF" w:val="clear"/>
              </w:rPr>
              <w:t>(3)</w:t>
            </w:r>
            <w:r>
              <w:rPr/>
              <w:t xml:space="preserve"> </w:t>
            </w:r>
          </w:p>
        </w:tc>
      </w:tr>
      <w:tr>
        <w:trPr/>
        <w:tc>
          <w:tcPr>
            <w:tcW w:w="22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157,801</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ESOP</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distributed to the beneficiary of a trust which benefits an adult child of the reporting person, of which the reporting person is a co-trustee.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held through a trust which benefits an adult child of the reporting person. The reporting person disclaims beneficial ownership of the securities held by the trust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holds these shares in his capacity as voting trustee of the voting trust established by that certain Restatement of Koss Family Voting Trust, dated March 23, 2022. The reporting person disclaims beneficial ownership of these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Kim M. Schulte,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0293" TargetMode="External"/><Relationship Id="rId5" Type="http://schemas.openxmlformats.org/officeDocument/2006/relationships/hyperlink" Target="http://www.sec.gov/cgi-bin/browse-edgar?action=getcompany&amp;CIK=00000567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703</Words>
  <Characters>3771</Characters>
  <CharactersWithSpaces>4402</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