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541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5411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KOSS MICHAEL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KOSS CORPORATION</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4129 N. PORT WASHINGTON AVE.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MILWAUKEE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WI</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53212</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KOSS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KOSS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2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17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22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05/30/2024</w:t>
            </w:r>
          </w:p>
        </w:tc>
        <w:tc>
          <w:tcPr>
            <w:tcW w:w="2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220" w:type="dxa"/>
            <w:vAlign w:val="bottom"/>
            <w:gridSpan w:val="3"/>
            <w:vMerge w:val="continue"/>
          </w:tcPr>
          <w:p>
            <w:pPr>
              <w:spacing w:after="0"/>
              <w:rPr>
                <w:sz w:val="11"/>
                <w:szCs w:val="11"/>
                <w:color w:val="auto"/>
              </w:rPr>
            </w:pPr>
          </w:p>
        </w:tc>
        <w:tc>
          <w:tcPr>
            <w:tcW w:w="2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7"/>
                <w:szCs w:val="17"/>
                <w:color w:val="0000FF"/>
              </w:rPr>
              <w:t>President and CEO</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260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As co-</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trustee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5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0000FF"/>
              </w:rPr>
              <w:t>05/30/2024</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ind w:left="140"/>
              <w:spacing w:after="0" w:line="213" w:lineRule="exact"/>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1"/>
                <w:szCs w:val="11"/>
                <w:color w:val="008000"/>
              </w:rPr>
              <w:t>(1)</w:t>
            </w:r>
          </w:p>
        </w:tc>
        <w:tc>
          <w:tcPr>
            <w:tcW w:w="7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15,000</w:t>
            </w:r>
          </w:p>
        </w:tc>
        <w:tc>
          <w:tcPr>
            <w:tcW w:w="440" w:type="dxa"/>
            <w:vAlign w:val="bottom"/>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gridSpan w:val="3"/>
          </w:tcPr>
          <w:p>
            <w:pPr>
              <w:jc w:val="center"/>
              <w:ind w:left="67"/>
              <w:spacing w:after="0"/>
              <w:rPr>
                <w:sz w:val="20"/>
                <w:szCs w:val="20"/>
                <w:color w:val="auto"/>
              </w:rPr>
            </w:pPr>
            <w:r>
              <w:rPr>
                <w:rFonts w:ascii="Times New Roman" w:cs="Times New Roman" w:eastAsia="Times New Roman" w:hAnsi="Times New Roman"/>
                <w:sz w:val="17"/>
                <w:szCs w:val="17"/>
                <w:color w:val="0000FF"/>
              </w:rPr>
              <w:t>12,000</w:t>
            </w:r>
          </w:p>
        </w:tc>
        <w:tc>
          <w:tcPr>
            <w:tcW w:w="940" w:type="dxa"/>
            <w:vAlign w:val="bottom"/>
          </w:tcPr>
          <w:p>
            <w:pPr>
              <w:jc w:val="center"/>
              <w:ind w:right="52"/>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of trust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for</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child</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46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24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380" w:type="dxa"/>
            <w:vAlign w:val="bottom"/>
            <w:tcBorders>
              <w:top w:val="single" w:sz="8" w:color="2C2C2C"/>
            </w:tcBorders>
            <w:gridSpan w:val="3"/>
          </w:tcPr>
          <w:p>
            <w:pPr>
              <w:jc w:val="center"/>
              <w:ind w:left="67"/>
              <w:spacing w:after="0"/>
              <w:rPr>
                <w:sz w:val="20"/>
                <w:szCs w:val="20"/>
                <w:color w:val="auto"/>
              </w:rPr>
            </w:pPr>
            <w:r>
              <w:rPr>
                <w:rFonts w:ascii="Times New Roman" w:cs="Times New Roman" w:eastAsia="Times New Roman" w:hAnsi="Times New Roman"/>
                <w:sz w:val="17"/>
                <w:szCs w:val="17"/>
                <w:color w:val="0000FF"/>
              </w:rPr>
              <w:t>774,907</w:t>
            </w:r>
          </w:p>
        </w:tc>
        <w:tc>
          <w:tcPr>
            <w:tcW w:w="940" w:type="dxa"/>
            <w:vAlign w:val="bottom"/>
            <w:tcBorders>
              <w:top w:val="single" w:sz="8" w:color="2C2C2C"/>
            </w:tcBorders>
          </w:tcPr>
          <w:p>
            <w:pPr>
              <w:jc w:val="center"/>
              <w:ind w:right="3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jc w:val="center"/>
              <w:ind w:left="47"/>
              <w:spacing w:after="0"/>
              <w:rPr>
                <w:sz w:val="20"/>
                <w:szCs w:val="20"/>
                <w:color w:val="auto"/>
              </w:rPr>
            </w:pPr>
            <w:r>
              <w:rPr>
                <w:rFonts w:ascii="Times New Roman" w:cs="Times New Roman" w:eastAsia="Times New Roman" w:hAnsi="Times New Roman"/>
                <w:sz w:val="17"/>
                <w:szCs w:val="17"/>
                <w:color w:val="0000FF"/>
              </w:rPr>
              <w:t>2,696,634</w:t>
            </w:r>
          </w:p>
        </w:tc>
        <w:tc>
          <w:tcPr>
            <w:tcW w:w="940" w:type="dxa"/>
            <w:vAlign w:val="bottom"/>
          </w:tcPr>
          <w:p>
            <w:pPr>
              <w:jc w:val="center"/>
              <w:ind w:right="52"/>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voting</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trustee</w:t>
            </w:r>
            <w:r>
              <w:rPr>
                <w:rFonts w:ascii="Times New Roman" w:cs="Times New Roman" w:eastAsia="Times New Roman" w:hAnsi="Times New Roman"/>
                <w:sz w:val="22"/>
                <w:szCs w:val="22"/>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80" w:type="dxa"/>
            <w:vAlign w:val="bottom"/>
            <w:gridSpan w:val="3"/>
          </w:tcPr>
          <w:p>
            <w:pPr>
              <w:jc w:val="center"/>
              <w:ind w:left="67"/>
              <w:spacing w:after="0"/>
              <w:rPr>
                <w:sz w:val="20"/>
                <w:szCs w:val="20"/>
                <w:color w:val="auto"/>
              </w:rPr>
            </w:pPr>
            <w:r>
              <w:rPr>
                <w:rFonts w:ascii="Times New Roman" w:cs="Times New Roman" w:eastAsia="Times New Roman" w:hAnsi="Times New Roman"/>
                <w:sz w:val="17"/>
                <w:szCs w:val="17"/>
                <w:color w:val="0000FF"/>
              </w:rPr>
              <w:t>157,801</w:t>
            </w:r>
          </w:p>
        </w:tc>
        <w:tc>
          <w:tcPr>
            <w:tcW w:w="940" w:type="dxa"/>
            <w:vAlign w:val="bottom"/>
          </w:tcPr>
          <w:p>
            <w:pPr>
              <w:jc w:val="center"/>
              <w:ind w:right="52"/>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ESOP</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distributed to the beneficiary of a trust which benefits an adult child of the reporting person, of which the reporting person is a co-trustee.</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through a trust which benefits an adult child of the reporting person. The reporting person disclaims beneficial ownership of the securities held by the trust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holds these shares in his capacity as voting trustee of the voting trust established by that certain Restatement of Koss Family Voting Trust, dated March 23, 2022. The reporting person disclaims beneficial ownership of these securities except to the extent of his pecuniary interest therein.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Kim M. Schulte, as</w:t>
            </w:r>
          </w:p>
        </w:tc>
        <w:tc>
          <w:tcPr>
            <w:tcW w:w="52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05/31/2024</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90293" TargetMode="External"/><Relationship Id="rId13" Type="http://schemas.openxmlformats.org/officeDocument/2006/relationships/hyperlink" Target="http://www.sec.gov/cgi-bin/browse-edgar?action=getcompany&amp;CIK=00000567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2024-05-31T16:01:09Z</dcterms:created>
  <dcterms:modified xsi:type="dcterms:W3CDTF">2024-05-31T16:01:09Z</dcterms:modified>
</cp:coreProperties>
</file>