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caps w:val="false"/>
          <w:smallCaps w:val="false"/>
        </w:rPr>
      </w:pPr>
      <w:bookmarkStart w:id="0" w:name="koss-20260129x8k.htm"/>
      <w:bookmarkStart w:id="1" w:name="kskoss20260129x8k"/>
      <w:bookmarkEnd w:id="0"/>
      <w:bookmarkEnd w:id="1"/>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UNITED STATES</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FORM 8-K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CURRENT REPORT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PURSUANT TO SECTION 13 or 15(d) OF THE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EXCHANGE ACT OF 1934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of Report (Date of earliest event reported): January 29,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p>
      <w:pPr>
        <w:pStyle w:val="TextBody"/>
        <w:bidi w:val="0"/>
        <w:spacing w:lineRule="auto" w:line="259"/>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691"/>
        <w:gridCol w:w="2296"/>
        <w:gridCol w:w="2896"/>
      </w:tblGrid>
      <w:tr>
        <w:trPr/>
        <w:tc>
          <w:tcPr>
            <w:tcW w:w="369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Delaware</w:t>
            </w:r>
          </w:p>
        </w:tc>
        <w:tc>
          <w:tcPr>
            <w:tcW w:w="229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0-3295</w:t>
            </w:r>
          </w:p>
        </w:tc>
        <w:tc>
          <w:tcPr>
            <w:tcW w:w="289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39-1168275</w:t>
            </w:r>
          </w:p>
        </w:tc>
      </w:tr>
      <w:tr>
        <w:trPr/>
        <w:tc>
          <w:tcPr>
            <w:tcW w:w="3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or other Jurisdiction of Incorporation)</w:t>
            </w:r>
          </w:p>
        </w:tc>
        <w:tc>
          <w:tcPr>
            <w:tcW w:w="22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(Commission File Number)</w:t>
            </w:r>
          </w:p>
        </w:tc>
        <w:tc>
          <w:tcPr>
            <w:tcW w:w="28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(IRS Employer Identification No.)</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4129 North Port Washington Avenue, Milwaukee, Wisconsin</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53212</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  (Zip code)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(414) 964-5000</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 Applicable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(Former Name or Former Address, if Changed Since Last Report)</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lineRule="auto" w:line="259"/>
        <w:rPr>
          <w:caps w:val="false"/>
          <w:smallCaps w:val="false"/>
        </w:rPr>
      </w:pPr>
      <w:r>
        <w:rPr>
          <w:caps w:val="false"/>
          <w:smallCaps w:val="false"/>
        </w:rPr>
        <w:t> </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7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Written communications pursuant to Rule 425 under the Securities Act (17 CFR 230.425)</w:t>
            </w:r>
          </w:p>
        </w:tc>
      </w:tr>
    </w:tbl>
    <w:p>
      <w:pPr>
        <w:pStyle w:val="TextBody"/>
        <w:bidi w:val="0"/>
        <w:spacing w:lineRule="auto" w:line="259"/>
        <w:rPr>
          <w:caps w:val="false"/>
          <w:smallCaps w:val="false"/>
        </w:rPr>
      </w:pPr>
      <w:r>
        <w:rPr>
          <w:caps w:val="false"/>
          <w:smallCaps w:val="false"/>
        </w:rPr>
        <w:t> </w:t>
      </w:r>
    </w:p>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7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Soliciting material pursuant to Rule 14a-12 under the Exchange Act (17 CFR 240.14a-12)</w:t>
            </w:r>
          </w:p>
        </w:tc>
      </w:tr>
    </w:tbl>
    <w:p>
      <w:pPr>
        <w:pStyle w:val="TextBody"/>
        <w:bidi w:val="0"/>
        <w:spacing w:lineRule="auto" w:line="259"/>
        <w:rPr>
          <w:caps w:val="false"/>
          <w:smallCaps w:val="false"/>
        </w:rPr>
      </w:pPr>
      <w:r>
        <w:rPr>
          <w:caps w:val="false"/>
          <w:smallCaps w:val="false"/>
        </w:rPr>
        <w:t> </w:t>
      </w:r>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9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14d-2(b) under the Exchange Act (17 CFR 240.14d-2(b))</w:t>
            </w:r>
          </w:p>
        </w:tc>
      </w:tr>
    </w:tbl>
    <w:p>
      <w:pPr>
        <w:pStyle w:val="TextBody"/>
        <w:bidi w:val="0"/>
        <w:spacing w:lineRule="auto" w:line="259"/>
        <w:rPr>
          <w:caps w:val="false"/>
          <w:smallCaps w:val="false"/>
        </w:rPr>
      </w:pPr>
      <w:r>
        <w:rPr>
          <w:caps w:val="false"/>
          <w:smallCaps w:val="false"/>
        </w:rPr>
        <w:t> </w:t>
      </w:r>
    </w:p>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9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Pre-commencement communications pursuant to Rule 13e-4(c) under the Exchange Act (17 CFR 240.13e-4(c))</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Securities registered pursuant to Section 12(b) of the Act:</w:t>
        <w:br/>
        <w:t>‎</w:t>
      </w:r>
      <w:r>
        <w:rPr>
          <w:rFonts w:ascii="Times New Roman;serif" w:hAnsi="Times New Roman;serif"/>
          <w:caps w:val="false"/>
          <w:smallCaps w:val="false"/>
          <w:sz w:val="20"/>
        </w:rPr>
        <w:t> </w:t>
      </w:r>
    </w:p>
    <w:tbl>
      <w:tblPr>
        <w:tblW w:w="8928" w:type="dxa"/>
        <w:jc w:val="left"/>
        <w:tblInd w:w="0" w:type="dxa"/>
        <w:tblLayout w:type="fixed"/>
        <w:tblCellMar>
          <w:top w:w="0" w:type="dxa"/>
          <w:left w:w="0" w:type="dxa"/>
          <w:bottom w:w="0" w:type="dxa"/>
          <w:right w:w="0"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Title of each class</w:t>
            </w:r>
          </w:p>
        </w:tc>
        <w:tc>
          <w:tcPr>
            <w:tcW w:w="1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Trading Symbol(s)</w:t>
            </w:r>
          </w:p>
        </w:tc>
        <w:tc>
          <w:tcPr>
            <w:tcW w:w="370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each exchange on which registered</w:t>
            </w:r>
          </w:p>
        </w:tc>
      </w:tr>
      <w:tr>
        <w:trPr/>
        <w:tc>
          <w:tcPr>
            <w:tcW w:w="36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Common Stock, $0.005 par value per share</w:t>
            </w:r>
          </w:p>
        </w:tc>
        <w:tc>
          <w:tcPr>
            <w:tcW w:w="1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w:t>
            </w:r>
          </w:p>
        </w:tc>
        <w:tc>
          <w:tcPr>
            <w:tcW w:w="370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Nasdaq</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Capital Market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Emerging growth company </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2.02     Results of Operations and Financial Condition.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On January 29, 2026, Koss Corporation issued a press release (the “Press Release”) announcing its financial results for the quarter ended </w:t>
      </w:r>
      <w:bookmarkStart w:id="2" w:name="led29080F20203271588019349229"/>
      <w:bookmarkEnd w:id="2"/>
      <w:r>
        <w:rPr>
          <w:rFonts w:ascii="Times New Roman;serif" w:hAnsi="Times New Roman;serif"/>
          <w:b w:val="false"/>
          <w:i w:val="false"/>
          <w:caps w:val="false"/>
          <w:smallCaps w:val="false"/>
          <w:sz w:val="20"/>
        </w:rPr>
        <w:t>December 31, 2025.  A copy of the Press Release is being furnished as Exhibit 99.1 to this Form 8-K and is incorporated herein by reference.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information in this Item 2.02 Results of Operations and Financial Condition, including Exhibit 99.1 attached hereto, is being furnished pursuant to Item 2.02 of Form 8-K. In accordance with General Instruction B.2 of Form 8-K, the information in this Item 2.02 and Exhibit 99.1 shall not be deemed to be “filed” for purposes of Section 18 of the Securities Exchange Act of 1934, as amended, nor shall it be deemed incorporated by reference in any filing under the Securities Act of 1933, as amended, or the Securities Exchange Act of 1934, as amended.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9.01     Financial Statements and Exhibits.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 Exhibits</w:t>
      </w:r>
    </w:p>
    <w:p>
      <w:pPr>
        <w:pStyle w:val="TextBody"/>
        <w:bidi w:val="0"/>
        <w:spacing w:lineRule="auto" w:line="259"/>
        <w:rPr>
          <w:caps w:val="false"/>
          <w:smallCaps w:val="false"/>
        </w:rPr>
      </w:pPr>
      <w:r>
        <w:rPr>
          <w:caps w:val="false"/>
          <w:smallCaps w:val="false"/>
        </w:rPr>
        <w:t> </w:t>
      </w:r>
    </w:p>
    <w:tbl>
      <w:tblPr>
        <w:tblW w:w="7217" w:type="dxa"/>
        <w:jc w:val="left"/>
        <w:tblInd w:w="0" w:type="dxa"/>
        <w:tblLayout w:type="fixed"/>
        <w:tblCellMar>
          <w:top w:w="0" w:type="dxa"/>
          <w:left w:w="0" w:type="dxa"/>
          <w:bottom w:w="0" w:type="dxa"/>
          <w:right w:w="0" w:type="dxa"/>
        </w:tblCellMar>
      </w:tblPr>
      <w:tblGrid>
        <w:gridCol w:w="1141"/>
        <w:gridCol w:w="6076"/>
      </w:tblGrid>
      <w:tr>
        <w:trPr/>
        <w:tc>
          <w:tcPr>
            <w:tcW w:w="1141" w:type="dxa"/>
            <w:tcBorders/>
            <w:vAlign w:val="center"/>
          </w:tcPr>
          <w:p>
            <w:pPr>
              <w:pStyle w:val="TableContents"/>
              <w:bidi w:val="0"/>
              <w:spacing w:before="0" w:after="283"/>
              <w:jc w:val="left"/>
              <w:rPr>
                <w:sz w:val="4"/>
                <w:szCs w:val="4"/>
              </w:rPr>
            </w:pPr>
            <w:r>
              <w:rPr>
                <w:sz w:val="4"/>
                <w:szCs w:val="4"/>
              </w:rPr>
            </w:r>
          </w:p>
        </w:tc>
        <w:tc>
          <w:tcPr>
            <w:tcW w:w="6076" w:type="dxa"/>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Number</w:t>
            </w:r>
          </w:p>
        </w:tc>
        <w:tc>
          <w:tcPr>
            <w:tcW w:w="60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Description</w:t>
            </w:r>
          </w:p>
        </w:tc>
      </w:tr>
      <w:tr>
        <w:trPr/>
        <w:tc>
          <w:tcPr>
            <w:tcW w:w="1141" w:type="dxa"/>
            <w:tcBorders/>
            <w:vAlign w:val="center"/>
          </w:tcPr>
          <w:p>
            <w:pPr>
              <w:pStyle w:val="TableContents"/>
              <w:bidi w:val="0"/>
              <w:spacing w:before="0" w:after="283"/>
              <w:jc w:val="left"/>
              <w:rPr>
                <w:sz w:val="4"/>
                <w:szCs w:val="4"/>
              </w:rPr>
            </w:pPr>
            <w:r>
              <w:rPr>
                <w:sz w:val="4"/>
                <w:szCs w:val="4"/>
              </w:rPr>
            </w:r>
          </w:p>
        </w:tc>
        <w:tc>
          <w:tcPr>
            <w:tcW w:w="6076" w:type="dxa"/>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Exhibit 99.1</w:t>
            </w:r>
          </w:p>
        </w:tc>
        <w:tc>
          <w:tcPr>
            <w:tcW w:w="6076" w:type="dxa"/>
            <w:tcBorders/>
            <w:vAlign w:val="center"/>
          </w:tcPr>
          <w:p>
            <w:pPr>
              <w:pStyle w:val="TableContents"/>
              <w:bidi w:val="0"/>
              <w:spacing w:lineRule="auto" w:line="259" w:before="0" w:after="283"/>
              <w:jc w:val="left"/>
              <w:rPr/>
            </w:pPr>
            <w:hyperlink w:anchor="koss-20260129xex99_1.htm">
              <w:r>
                <w:rPr>
                  <w:rStyle w:val="InternetLink"/>
                  <w:rFonts w:ascii="Times New Roman;serif" w:hAnsi="Times New Roman;serif"/>
                  <w:b w:val="false"/>
                  <w:i w:val="false"/>
                  <w:caps w:val="false"/>
                  <w:smallCaps w:val="false"/>
                  <w:color w:val="0000FF"/>
                  <w:sz w:val="20"/>
                  <w:u w:val="single"/>
                </w:rPr>
                <w:t>Press release of Koss Corporation dated January 29, 2026</w:t>
              </w:r>
            </w:hyperlink>
          </w:p>
        </w:tc>
      </w:tr>
      <w:tr>
        <w:trPr/>
        <w:tc>
          <w:tcPr>
            <w:tcW w:w="11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Exhibit 104</w:t>
            </w:r>
          </w:p>
        </w:tc>
        <w:tc>
          <w:tcPr>
            <w:tcW w:w="60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Cover Page Interactive Data File (embedded within the XBRL document)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5178" w:type="dxa"/>
        <w:jc w:val="left"/>
        <w:tblInd w:w="0" w:type="dxa"/>
        <w:tblLayout w:type="fixed"/>
        <w:tblCellMar>
          <w:top w:w="0" w:type="dxa"/>
          <w:left w:w="0" w:type="dxa"/>
          <w:bottom w:w="0" w:type="dxa"/>
          <w:right w:w="0" w:type="dxa"/>
        </w:tblCellMar>
      </w:tblPr>
      <w:tblGrid>
        <w:gridCol w:w="1516"/>
        <w:gridCol w:w="406"/>
        <w:gridCol w:w="3256"/>
      </w:tblGrid>
      <w:tr>
        <w:trPr/>
        <w:tc>
          <w:tcPr>
            <w:tcW w:w="15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January 29, 2026</w:t>
            </w:r>
          </w:p>
        </w:tc>
        <w:tc>
          <w:tcPr>
            <w:tcW w:w="3662"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 CORPORATION</w:t>
            </w:r>
          </w:p>
        </w:tc>
      </w:tr>
      <w:tr>
        <w:trPr/>
        <w:tc>
          <w:tcPr>
            <w:tcW w:w="15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w:t>
            </w:r>
          </w:p>
        </w:tc>
        <w:tc>
          <w:tcPr>
            <w:tcW w:w="325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Michael J. Koss</w:t>
            </w:r>
          </w:p>
        </w:tc>
      </w:tr>
      <w:tr>
        <w:trPr/>
        <w:tc>
          <w:tcPr>
            <w:tcW w:w="15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Michael J. Koss</w:t>
            </w:r>
          </w:p>
        </w:tc>
      </w:tr>
      <w:tr>
        <w:trPr/>
        <w:tc>
          <w:tcPr>
            <w:tcW w:w="15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Chairman and Chief Executive Officer</w:t>
            </w:r>
          </w:p>
        </w:tc>
      </w:tr>
    </w:tbl>
    <w:p>
      <w:pPr>
        <w:pStyle w:val="TextBody"/>
        <w:bidi w:val="0"/>
        <w:spacing w:before="0" w:after="0"/>
        <w:ind w:left="864" w:right="864" w:hanging="0"/>
        <w:jc w:val="left"/>
        <w:rPr/>
      </w:pPr>
      <w:bookmarkStart w:id="3" w:name="koss-20260129xex99_1.htm"/>
      <w:bookmarkStart w:id="4" w:name="kskoss20260129xex99_1"/>
      <w:bookmarkEnd w:id="3"/>
      <w:bookmarkEnd w:id="4"/>
      <w:r>
        <w:rPr/>
        <w:t xml:space="preserve">  </w:t>
      </w:r>
      <w:r>
        <w:br w:type="page"/>
      </w:r>
    </w:p>
    <w:p>
      <w:pPr>
        <w:pStyle w:val="TextBody"/>
        <w:bidi w:val="0"/>
        <w:spacing w:before="0" w:after="0"/>
        <w:ind w:left="864" w:right="864" w:hanging="0"/>
        <w:jc w:val="right"/>
        <w:rPr/>
      </w:pPr>
      <w:r>
        <w:rPr/>
        <w:t xml:space="preserve">  </w:t>
      </w:r>
    </w:p>
    <w:p>
      <w:pPr>
        <w:pStyle w:val="TextBody"/>
        <w:bidi w:val="0"/>
        <w:spacing w:before="0" w:after="0"/>
        <w:ind w:left="864" w:right="864" w:hanging="0"/>
        <w:jc w:val="left"/>
        <w:rPr/>
      </w:pPr>
      <w:r>
        <w:rPr/>
        <w:drawing>
          <wp:inline distT="0" distB="0" distL="0" distR="0">
            <wp:extent cx="5943600" cy="791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91210"/>
                    </a:xfrm>
                    <a:prstGeom prst="rect">
                      <a:avLst/>
                    </a:prstGeom>
                  </pic:spPr>
                </pic:pic>
              </a:graphicData>
            </a:graphic>
          </wp:inline>
        </w:drawing>
      </w:r>
      <w:r>
        <w:rPr/>
        <w:t xml:space="preserve"> </w:t>
      </w:r>
    </w:p>
    <w:p>
      <w:pPr>
        <w:pStyle w:val="TextBody"/>
        <w:bidi w:val="0"/>
        <w:spacing w:before="0" w:after="0"/>
        <w:ind w:left="864" w:right="864" w:hanging="0"/>
        <w:jc w:val="left"/>
        <w:rPr/>
      </w:pPr>
      <w:r>
        <w:rPr/>
        <w:t xml:space="preserve">  </w:t>
      </w:r>
    </w:p>
    <w:tbl>
      <w:tblPr>
        <w:tblW w:w="5250" w:type="dxa"/>
        <w:jc w:val="left"/>
        <w:tblInd w:w="720" w:type="dxa"/>
        <w:tblLayout w:type="fixed"/>
        <w:tblCellMar>
          <w:top w:w="0" w:type="dxa"/>
          <w:left w:w="0" w:type="dxa"/>
          <w:bottom w:w="0" w:type="dxa"/>
          <w:right w:w="0" w:type="dxa"/>
        </w:tblCellMar>
      </w:tblPr>
      <w:tblGrid>
        <w:gridCol w:w="2630"/>
        <w:gridCol w:w="1040"/>
        <w:gridCol w:w="1580"/>
      </w:tblGrid>
      <w:tr>
        <w:trPr/>
        <w:tc>
          <w:tcPr>
            <w:tcW w:w="2630"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1040" w:type="dxa"/>
            <w:tcBorders/>
            <w:vAlign w:val="bottom"/>
          </w:tcPr>
          <w:p>
            <w:pPr>
              <w:pStyle w:val="TableContents"/>
              <w:bidi w:val="0"/>
              <w:spacing w:before="0" w:after="0"/>
              <w:ind w:left="0" w:right="0" w:hanging="0"/>
              <w:jc w:val="left"/>
              <w:rPr/>
            </w:pPr>
            <w:r>
              <w:rPr/>
              <w:t> </w:t>
            </w:r>
          </w:p>
        </w:tc>
        <w:tc>
          <w:tcPr>
            <w:tcW w:w="1580" w:type="dxa"/>
            <w:tcBorders/>
            <w:vAlign w:val="bottom"/>
          </w:tcPr>
          <w:p>
            <w:pPr>
              <w:pStyle w:val="TableContents"/>
              <w:bidi w:val="0"/>
              <w:spacing w:before="0" w:after="0"/>
              <w:ind w:left="0" w:right="0" w:hanging="0"/>
              <w:jc w:val="left"/>
              <w:rPr/>
            </w:pPr>
            <w:r>
              <w:rPr/>
              <w:t> </w:t>
            </w:r>
          </w:p>
        </w:tc>
      </w:tr>
      <w:tr>
        <w:trPr/>
        <w:tc>
          <w:tcPr>
            <w:tcW w:w="2630" w:type="dxa"/>
            <w:tcBorders/>
            <w:vAlign w:val="bottom"/>
          </w:tcPr>
          <w:p>
            <w:pPr>
              <w:pStyle w:val="TableContents"/>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FOR IMMEDIATE RELEASE</w:t>
            </w:r>
          </w:p>
        </w:tc>
        <w:tc>
          <w:tcPr>
            <w:tcW w:w="104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CONTACT:</w:t>
            </w:r>
          </w:p>
        </w:tc>
        <w:tc>
          <w:tcPr>
            <w:tcW w:w="158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Michael J. Koss</w:t>
            </w:r>
          </w:p>
        </w:tc>
      </w:tr>
      <w:tr>
        <w:trPr/>
        <w:tc>
          <w:tcPr>
            <w:tcW w:w="2630" w:type="dxa"/>
            <w:tcBorders/>
            <w:vAlign w:val="bottom"/>
          </w:tcPr>
          <w:p>
            <w:pPr>
              <w:pStyle w:val="TableContents"/>
              <w:bidi w:val="0"/>
              <w:spacing w:before="0" w:after="0"/>
              <w:ind w:left="0" w:right="0" w:hanging="0"/>
              <w:jc w:val="both"/>
              <w:rPr>
                <w:rFonts w:ascii="Times New Roman" w:hAnsi="Times New Roman"/>
                <w:sz w:val="20"/>
              </w:rPr>
            </w:pPr>
            <w:r>
              <w:rPr>
                <w:rFonts w:ascii="Times New Roman" w:hAnsi="Times New Roman"/>
                <w:b/>
                <w:color w:val="000000"/>
                <w:sz w:val="20"/>
              </w:rPr>
              <w:t>January 29,</w:t>
            </w:r>
            <w:r>
              <w:rPr>
                <w:rFonts w:ascii="Times New Roman" w:hAnsi="Times New Roman"/>
                <w:color w:val="000000"/>
                <w:sz w:val="20"/>
              </w:rPr>
              <w:t xml:space="preserve"> </w:t>
            </w:r>
            <w:r>
              <w:rPr>
                <w:rFonts w:ascii="Times New Roman" w:hAnsi="Times New Roman"/>
                <w:b/>
                <w:color w:val="000000"/>
                <w:sz w:val="20"/>
              </w:rPr>
              <w:t>2026</w:t>
            </w:r>
          </w:p>
        </w:tc>
        <w:tc>
          <w:tcPr>
            <w:tcW w:w="1040" w:type="dxa"/>
            <w:tcBorders/>
            <w:vAlign w:val="bottom"/>
          </w:tcPr>
          <w:p>
            <w:pPr>
              <w:pStyle w:val="TableContents"/>
              <w:bidi w:val="0"/>
              <w:spacing w:before="0" w:after="0"/>
              <w:ind w:left="0" w:right="0" w:hanging="0"/>
              <w:jc w:val="left"/>
              <w:rPr/>
            </w:pPr>
            <w:r>
              <w:rPr/>
              <w:t> </w:t>
            </w:r>
          </w:p>
        </w:tc>
        <w:tc>
          <w:tcPr>
            <w:tcW w:w="158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Chairman &amp; CEO</w:t>
            </w:r>
          </w:p>
        </w:tc>
      </w:tr>
      <w:tr>
        <w:trPr/>
        <w:tc>
          <w:tcPr>
            <w:tcW w:w="2630"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0" w:hanging="0"/>
              <w:jc w:val="left"/>
              <w:rPr/>
            </w:pPr>
            <w:r>
              <w:rPr/>
              <w:t> </w:t>
            </w:r>
          </w:p>
        </w:tc>
        <w:tc>
          <w:tcPr>
            <w:tcW w:w="158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(414) 964-5000</w:t>
            </w:r>
          </w:p>
        </w:tc>
      </w:tr>
      <w:tr>
        <w:trPr/>
        <w:tc>
          <w:tcPr>
            <w:tcW w:w="2630" w:type="dxa"/>
            <w:tcBorders/>
            <w:vAlign w:val="bottom"/>
          </w:tcPr>
          <w:p>
            <w:pPr>
              <w:pStyle w:val="TableContents"/>
              <w:bidi w:val="0"/>
              <w:spacing w:before="0" w:after="0"/>
              <w:ind w:left="0" w:right="0" w:hanging="0"/>
              <w:jc w:val="left"/>
              <w:rPr/>
            </w:pPr>
            <w:r>
              <w:rPr/>
              <w:t> </w:t>
            </w:r>
          </w:p>
        </w:tc>
        <w:tc>
          <w:tcPr>
            <w:tcW w:w="1040" w:type="dxa"/>
            <w:tcBorders/>
            <w:vAlign w:val="bottom"/>
          </w:tcPr>
          <w:p>
            <w:pPr>
              <w:pStyle w:val="TableContents"/>
              <w:bidi w:val="0"/>
              <w:spacing w:before="0" w:after="0"/>
              <w:ind w:left="0" w:right="0" w:hanging="0"/>
              <w:jc w:val="left"/>
              <w:rPr/>
            </w:pPr>
            <w:r>
              <w:rPr/>
              <w:t> </w:t>
            </w:r>
          </w:p>
        </w:tc>
        <w:tc>
          <w:tcPr>
            <w:tcW w:w="1580" w:type="dxa"/>
            <w:tcBorders/>
            <w:vAlign w:val="bottom"/>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mjkoss@koss.com</w:t>
            </w:r>
          </w:p>
        </w:tc>
      </w:tr>
    </w:tbl>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864" w:right="864" w:hanging="0"/>
        <w:jc w:val="center"/>
        <w:rPr/>
      </w:pPr>
      <w:r>
        <w:rPr/>
        <w:t xml:space="preserve">  </w:t>
      </w:r>
    </w:p>
    <w:p>
      <w:pPr>
        <w:pStyle w:val="TextBody"/>
        <w:bidi w:val="0"/>
        <w:spacing w:before="0" w:after="0"/>
        <w:ind w:left="864" w:right="864" w:hanging="0"/>
        <w:jc w:val="center"/>
        <w:rPr>
          <w:rFonts w:ascii="Times New Roman" w:hAnsi="Times New Roman"/>
          <w:sz w:val="24"/>
        </w:rPr>
      </w:pPr>
      <w:r>
        <w:rPr>
          <w:rFonts w:ascii="Times New Roman" w:hAnsi="Times New Roman"/>
          <w:b/>
          <w:sz w:val="24"/>
        </w:rPr>
        <w:t>Koss Corporation Reports</w:t>
      </w:r>
      <w:r>
        <w:rPr>
          <w:rFonts w:ascii="Times New Roman" w:hAnsi="Times New Roman"/>
          <w:sz w:val="24"/>
        </w:rPr>
        <w:t> </w:t>
      </w:r>
      <w:r>
        <w:rPr>
          <w:rFonts w:ascii="Times New Roman" w:hAnsi="Times New Roman"/>
          <w:b/>
          <w:sz w:val="24"/>
        </w:rPr>
        <w:t>Second</w:t>
      </w:r>
      <w:r>
        <w:rPr>
          <w:rFonts w:ascii="Times New Roman" w:hAnsi="Times New Roman"/>
          <w:sz w:val="24"/>
        </w:rPr>
        <w:t> </w:t>
      </w:r>
      <w:r>
        <w:rPr>
          <w:rFonts w:ascii="Times New Roman" w:hAnsi="Times New Roman"/>
          <w:b/>
          <w:sz w:val="24"/>
        </w:rPr>
        <w:t>Quarter Results</w:t>
      </w:r>
      <w:r>
        <w:rPr>
          <w:rFonts w:ascii="Times New Roman" w:hAnsi="Times New Roman"/>
          <w:sz w:val="24"/>
        </w:rPr>
        <w:t xml:space="preserve"> </w:t>
      </w:r>
    </w:p>
    <w:p>
      <w:pPr>
        <w:pStyle w:val="TextBody"/>
        <w:bidi w:val="0"/>
        <w:spacing w:before="0" w:after="0"/>
        <w:ind w:left="864" w:right="864" w:hanging="0"/>
        <w:jc w:val="center"/>
        <w:rPr/>
      </w:pPr>
      <w:r>
        <w:rPr/>
        <w:t xml:space="preserve">  </w:t>
      </w:r>
    </w:p>
    <w:p>
      <w:pPr>
        <w:pStyle w:val="TextBody"/>
        <w:bidi w:val="0"/>
        <w:spacing w:before="0" w:after="0"/>
        <w:ind w:left="864" w:right="864" w:hanging="0"/>
        <w:jc w:val="both"/>
        <w:rPr>
          <w:rFonts w:ascii="Times New Roman" w:hAnsi="Times New Roman"/>
          <w:sz w:val="20"/>
        </w:rPr>
      </w:pPr>
      <w:r>
        <w:rPr>
          <w:rFonts w:ascii="Times New Roman" w:hAnsi="Times New Roman"/>
          <w:b/>
          <w:sz w:val="20"/>
        </w:rPr>
        <w:t>Milwaukee, Wisconsin:</w:t>
      </w:r>
      <w:r>
        <w:rPr>
          <w:rFonts w:ascii="Times New Roman" w:hAnsi="Times New Roman"/>
          <w:sz w:val="20"/>
        </w:rPr>
        <w:t xml:space="preserve"> Koss Corporation (NASDAQ: KOSS) (the “Company”),  the U.S. based high-fidelity head</w:t>
      </w:r>
      <w:bookmarkStart w:id="5" w:name="led29080F20191051572974805001"/>
      <w:bookmarkEnd w:id="5"/>
      <w:r>
        <w:rPr>
          <w:rFonts w:ascii="Times New Roman" w:hAnsi="Times New Roman"/>
          <w:sz w:val="20"/>
        </w:rPr>
        <w:t>phone company, has reported its results for the</w:t>
      </w:r>
      <w:bookmarkStart w:id="6" w:name="led20643F2019911569951166549"/>
      <w:bookmarkEnd w:id="6"/>
      <w:r>
        <w:rPr>
          <w:rFonts w:ascii="Times New Roman" w:hAnsi="Times New Roman"/>
          <w:sz w:val="20"/>
        </w:rPr>
        <w:t xml:space="preserve"> second quarter ended December 31, 2025. </w:t>
      </w:r>
    </w:p>
    <w:p>
      <w:pPr>
        <w:pStyle w:val="TextBody"/>
        <w:bidi w:val="0"/>
        <w:spacing w:before="0" w:after="0"/>
        <w:ind w:left="864" w:right="864" w:hanging="0"/>
        <w:jc w:val="both"/>
        <w:rPr/>
      </w:pPr>
      <w:r>
        <w:rPr/>
        <w:t xml:space="preserve">  </w:t>
      </w:r>
    </w:p>
    <w:p>
      <w:pPr>
        <w:pStyle w:val="TextBody"/>
        <w:bidi w:val="0"/>
        <w:spacing w:before="0" w:after="0"/>
        <w:ind w:left="900" w:right="720" w:hanging="0"/>
        <w:jc w:val="both"/>
        <w:rPr>
          <w:rFonts w:ascii="Times New Roman" w:hAnsi="Times New Roman"/>
          <w:sz w:val="20"/>
        </w:rPr>
      </w:pPr>
      <w:r>
        <w:rPr>
          <w:rFonts w:ascii="Times New Roman" w:hAnsi="Times New Roman"/>
          <w:sz w:val="20"/>
        </w:rPr>
        <w:t>Net sales for the second quarter ended December 31, 2025 were $2,861,379, down $ 695,707, or 19.6%, from $3,557,086 for the same quarter in the prior year.  </w:t>
      </w:r>
      <w:r>
        <w:rPr>
          <w:rFonts w:ascii="Times New Roman" w:hAnsi="Times New Roman"/>
          <w:color w:val="000000"/>
          <w:sz w:val="20"/>
        </w:rPr>
        <w:t>The company posted a net loss of $565,407 for the three months</w:t>
      </w:r>
      <w:r>
        <w:rPr>
          <w:rFonts w:ascii="Times New Roman" w:hAnsi="Times New Roman"/>
          <w:sz w:val="20"/>
        </w:rPr>
        <w:t xml:space="preserve"> ended December 31, 2025 versus net income of $94,142 for the same period of the prior fiscal year. </w:t>
      </w:r>
      <w:r>
        <w:rPr>
          <w:rFonts w:ascii="Times New Roman" w:hAnsi="Times New Roman"/>
          <w:color w:val="000000"/>
          <w:sz w:val="20"/>
        </w:rPr>
        <w:t xml:space="preserve">Basic and diluted net loss per common share for the second quarter of fiscal year 2026 was $0.06 compared to basic and diluted net income per common share of $0.01  for the same three-month period one year ago. </w:t>
      </w:r>
    </w:p>
    <w:p>
      <w:pPr>
        <w:pStyle w:val="TextBody"/>
        <w:bidi w:val="0"/>
        <w:spacing w:before="0" w:after="0"/>
        <w:ind w:left="900" w:right="720" w:hanging="0"/>
        <w:jc w:val="both"/>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900" w:right="720" w:hanging="0"/>
        <w:jc w:val="both"/>
        <w:rPr>
          <w:rFonts w:ascii="Times New Roman" w:hAnsi="Times New Roman"/>
          <w:sz w:val="20"/>
        </w:rPr>
      </w:pPr>
      <w:r>
        <w:rPr>
          <w:rFonts w:ascii="Times New Roman" w:hAnsi="Times New Roman"/>
          <w:color w:val="000000"/>
          <w:sz w:val="20"/>
        </w:rPr>
        <w:t>For the six months ended December 31, 2025, net sales of $6,932,157 were up $173,203, or 2.6%, over net sales of $6,758,954 for the comparable period in the prior year. The net loss of $321,678 for the first six months of fiscal year 2026 was comparable to the net loss of $325,393 for the first six months of the prior fiscal year. Basic and diluted net loss per common share was $0.03 for each of the six-month periods ended December 31, 2025 and 2024.</w:t>
      </w:r>
      <w:r>
        <w:rPr>
          <w:rFonts w:ascii="Times New Roman" w:hAnsi="Times New Roman"/>
          <w:sz w:val="20"/>
        </w:rPr>
        <w:t xml:space="preserve"> </w:t>
      </w:r>
    </w:p>
    <w:p>
      <w:pPr>
        <w:pStyle w:val="TextBody"/>
        <w:bidi w:val="0"/>
        <w:spacing w:before="0" w:after="0"/>
        <w:ind w:left="900" w:right="720" w:hanging="0"/>
        <w:jc w:val="both"/>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900" w:right="720" w:hanging="0"/>
        <w:jc w:val="both"/>
        <w:rPr/>
      </w:pPr>
      <w:r>
        <w:rPr>
          <w:color w:val="000000"/>
        </w:rPr>
        <w:t>“</w:t>
      </w:r>
      <w:r>
        <w:rPr>
          <w:rFonts w:ascii="Times New Roman" w:hAnsi="Times New Roman"/>
          <w:color w:val="000000"/>
          <w:sz w:val="20"/>
        </w:rPr>
        <w:t>While the Company experienced strong sales gains in the Education market for the first two quarters of fiscal year 2026 compared to the prior year, the growth was mostly offset by the prior year’s sales uplift in our European markets resulting from new product launches that didn’t recur in this fiscal year,” Michael J. Koss, Chairman and CEO, said today. “The Company’s direct-to-consumer (DTC) business, which now makes up approximately 25% of the Company’s total sales, experienced growth of 13% year-over year.”</w:t>
      </w:r>
      <w:r>
        <w:rPr>
          <w:rFonts w:ascii="Times New Roman" w:hAnsi="Times New Roman"/>
          <w:sz w:val="20"/>
        </w:rPr>
        <w:t xml:space="preserve"> </w:t>
      </w:r>
    </w:p>
    <w:p>
      <w:pPr>
        <w:pStyle w:val="TextBody"/>
        <w:bidi w:val="0"/>
        <w:spacing w:before="0" w:after="0"/>
        <w:ind w:left="720" w:right="864" w:hanging="0"/>
        <w:jc w:val="both"/>
        <w:rPr>
          <w:rFonts w:cs="Times New Roman"/>
          <w:szCs w:val="20"/>
        </w:rPr>
      </w:pPr>
      <w:r>
        <w:rPr>
          <w:rFonts w:cs="Times New Roman"/>
          <w:szCs w:val="20"/>
        </w:rPr>
        <w:t xml:space="preserve">﻿ </w:t>
      </w:r>
    </w:p>
    <w:p>
      <w:pPr>
        <w:pStyle w:val="TextBody"/>
        <w:bidi w:val="0"/>
        <w:spacing w:before="0" w:after="0"/>
        <w:ind w:left="864" w:right="864" w:hanging="0"/>
        <w:jc w:val="both"/>
        <w:rPr>
          <w:rFonts w:ascii="Times New Roman" w:hAnsi="Times New Roman"/>
          <w:sz w:val="20"/>
        </w:rPr>
      </w:pPr>
      <w:r>
        <w:rPr>
          <w:rFonts w:ascii="Times New Roman" w:hAnsi="Times New Roman"/>
          <w:sz w:val="20"/>
        </w:rPr>
        <w:t xml:space="preserve">Koss stated, “Gross margins fell by 260 basis points, from 38.1% in the first six months of fiscal year 2025 to 35.5% for the comparable period in fiscal year 2026. The current year margin degradation was primarily due to the sell-through of product purchased from China when tariffs were at a peak rate of 145%. A favorable customer mix, which included higher volumes of higher margin domestic distributor and DTC sales, offset some of the negative impact of the tariffs.” </w:t>
      </w:r>
    </w:p>
    <w:p>
      <w:pPr>
        <w:pStyle w:val="TextBody"/>
        <w:bidi w:val="0"/>
        <w:spacing w:before="0" w:after="0"/>
        <w:ind w:left="864" w:right="864" w:hanging="0"/>
        <w:jc w:val="both"/>
        <w:rPr/>
      </w:pPr>
      <w:r>
        <w:rPr>
          <w:color w:val="000000"/>
        </w:rPr>
        <w:t> </w:t>
      </w:r>
      <w:r>
        <w:rPr/>
        <w:t xml:space="preserve"> </w:t>
      </w:r>
    </w:p>
    <w:p>
      <w:pPr>
        <w:pStyle w:val="TextBody"/>
        <w:bidi w:val="0"/>
        <w:spacing w:before="0" w:after="0"/>
        <w:ind w:left="900" w:right="720" w:hanging="0"/>
        <w:jc w:val="left"/>
        <w:rPr>
          <w:rFonts w:ascii="Times New Roman" w:hAnsi="Times New Roman"/>
          <w:sz w:val="20"/>
        </w:rPr>
      </w:pPr>
      <w:r>
        <w:rPr>
          <w:rFonts w:ascii="Times New Roman" w:hAnsi="Times New Roman"/>
          <w:i/>
          <w:sz w:val="20"/>
        </w:rPr>
        <w:t>About Koss Corporation</w:t>
      </w:r>
      <w:r>
        <w:rPr>
          <w:rFonts w:ascii="Times New Roman" w:hAnsi="Times New Roman"/>
          <w:sz w:val="20"/>
        </w:rPr>
        <w:t xml:space="preserve"> </w:t>
      </w:r>
    </w:p>
    <w:p>
      <w:pPr>
        <w:pStyle w:val="TextBody"/>
        <w:bidi w:val="0"/>
        <w:spacing w:before="0" w:after="0"/>
        <w:ind w:left="900" w:right="720" w:hanging="0"/>
        <w:jc w:val="left"/>
        <w:rPr>
          <w:rFonts w:cs="Times New Roman"/>
          <w:szCs w:val="20"/>
        </w:rPr>
      </w:pPr>
      <w:r>
        <w:rPr>
          <w:rFonts w:cs="Times New Roman"/>
          <w:szCs w:val="20"/>
        </w:rPr>
        <w:t xml:space="preserve">﻿ </w:t>
      </w:r>
    </w:p>
    <w:p>
      <w:pPr>
        <w:pStyle w:val="TextBody"/>
        <w:bidi w:val="0"/>
        <w:spacing w:before="0" w:after="0"/>
        <w:ind w:left="864" w:right="864" w:hanging="0"/>
        <w:jc w:val="left"/>
        <w:rPr/>
      </w:pPr>
      <w:r>
        <w:rPr/>
        <w:t> </w:t>
      </w:r>
      <w:r>
        <w:rPr>
          <w:rFonts w:ascii="Times New Roman" w:hAnsi="Times New Roman"/>
          <w:sz w:val="20"/>
        </w:rPr>
        <w:t xml:space="preserve">Koss Corporation markets a complete line of high-fidelity headphones, wireless Bluetooth® speakers, computer headsets, telecommunications headsets, active noise canceling headphones, and wireless headphones. </w:t>
      </w:r>
    </w:p>
    <w:p>
      <w:pPr>
        <w:pStyle w:val="TextBody"/>
        <w:bidi w:val="0"/>
        <w:spacing w:before="0" w:after="0"/>
        <w:ind w:left="720" w:right="720" w:hanging="0"/>
        <w:jc w:val="center"/>
        <w:rPr>
          <w:rFonts w:ascii="Times New Roman" w:hAnsi="Times New Roman"/>
          <w:sz w:val="24"/>
        </w:rPr>
      </w:pPr>
      <w:r>
        <w:rPr>
          <w:rFonts w:ascii="Times New Roman" w:hAnsi="Times New Roman"/>
          <w:sz w:val="24"/>
        </w:rPr>
        <w:t xml:space="preserve">1 </w:t>
      </w:r>
    </w:p>
    <w:p>
      <w:pPr>
        <w:pStyle w:val="TextBody"/>
        <w:bidi w:val="0"/>
        <w:spacing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864" w:right="864" w:hanging="0"/>
        <w:jc w:val="left"/>
        <w:rPr>
          <w:rFonts w:cs="Times New Roman"/>
          <w:szCs w:val="20"/>
        </w:rPr>
      </w:pPr>
      <w:r>
        <w:rPr>
          <w:rFonts w:cs="Times New Roman"/>
          <w:szCs w:val="20"/>
        </w:rPr>
        <w:t xml:space="preserve">﻿ </w:t>
      </w:r>
    </w:p>
    <w:p>
      <w:pPr>
        <w:pStyle w:val="TextBody"/>
        <w:bidi w:val="0"/>
        <w:spacing w:before="0" w:after="0"/>
        <w:ind w:left="864" w:right="864" w:hanging="0"/>
        <w:jc w:val="left"/>
        <w:rPr>
          <w:rFonts w:ascii="Times New Roman" w:hAnsi="Times New Roman"/>
          <w:sz w:val="20"/>
        </w:rPr>
      </w:pPr>
      <w:r>
        <w:rPr>
          <w:rFonts w:ascii="Times New Roman" w:hAnsi="Times New Roman"/>
          <w:i/>
          <w:sz w:val="20"/>
        </w:rPr>
        <w:t>Forward-Looking Statements</w:t>
      </w:r>
      <w:r>
        <w:rPr>
          <w:rFonts w:ascii="Times New Roman" w:hAnsi="Times New Roman"/>
          <w:sz w:val="20"/>
        </w:rPr>
        <w:t xml:space="preserve"> </w:t>
      </w:r>
    </w:p>
    <w:p>
      <w:pPr>
        <w:pStyle w:val="TextBody"/>
        <w:bidi w:val="0"/>
        <w:spacing w:before="0" w:after="0"/>
        <w:ind w:left="864" w:right="864" w:hanging="0"/>
        <w:jc w:val="left"/>
        <w:rPr>
          <w:rFonts w:cs="Times New Roman"/>
          <w:szCs w:val="20"/>
        </w:rPr>
      </w:pPr>
      <w:r>
        <w:rPr>
          <w:rFonts w:cs="Times New Roman"/>
          <w:iCs/>
          <w:szCs w:val="20"/>
        </w:rPr>
        <w:t>﻿</w:t>
      </w:r>
      <w:r>
        <w:rPr>
          <w:rFonts w:cs="Times New Roman"/>
          <w:szCs w:val="20"/>
        </w:rPr>
        <w:t xml:space="preserve"> </w:t>
      </w:r>
    </w:p>
    <w:p>
      <w:pPr>
        <w:pStyle w:val="TextBody"/>
        <w:bidi w:val="0"/>
        <w:spacing w:before="0" w:after="0"/>
        <w:ind w:left="864" w:right="864" w:hanging="0"/>
        <w:jc w:val="left"/>
        <w:rPr>
          <w:rFonts w:ascii="Times New Roman" w:hAnsi="Times New Roman"/>
          <w:sz w:val="20"/>
        </w:rPr>
      </w:pPr>
      <w:r>
        <w:rPr>
          <w:rFonts w:ascii="Times New Roman" w:hAnsi="Times New Roman"/>
          <w:color w:val="000000"/>
          <w:sz w:val="20"/>
        </w:rPr>
        <w:t>This press release contains forward-looking statements. These statements relate to future events or our future financial performance. In some cases, you can identify forward-looking statements by terminology such as “aims,” "anticipates," "believes," "estimates," "expects," "intends," "plans," “thinks,” "may," "will," “shall,” "should," “could,” “would,” "forecasts," "predicts," "potential," "continue," or the negative of such terms and other comparable terminology. These statements are based on currently available operating, financial and competitive information and are subject to various risks and uncertainties. Actual events or results may differ materially. In evaluating forward-looking statements, you should specifically consider various factors that may cause actual results to vary from those contained in the forward-looking statements, such as continued future fluctuations in economic conditions; the Company’s ability to successfully develop new products and assess potential market opportunities; the receptivity of consumers to new consumer electronics technologies; the Company’s ability to successfully and profitably market its products; the rate and consumer acceptance of new product introductions; the amount and nature of competition for the Company’s products; pricing; the number and nature of customers and their product orders; the Company’s ability to meet demand for products; production by third party vendors; foreign manufacturing, sourcing, and sales (including foreign government regulation, trade and importation concerns); uncertainties associated with political developments, international trade disputes and restrictions, natural disasters, public health concerns, and other disruptions, including their possible effects on the Company’s operations and its supply chain; trade tensions between the U.S. and China given recently enacted tariffs and their uncertainty; the impact of the ongoing conflict in Eastern Europe and the instability in the Middle East on the Company’s operations; the effects of any judicial, executive or legislative action affecting the Company or the audio/video industry; borrowing costs; changes in tax rates; the outcome of any litigation, government investigations, enforcement actions or other legal proceedings; the Company’s ability to retain and hire key personnel and other risk factors described in the Risk Factors and in Management’s Discussion and Analysis of Financial Condition and Results of Operations sections of the Company’s Annual Report on Form 10-K for the fiscal year ended June 30, 2025 and subsequently filed Quarterly Reports on Form 10-Q.  </w:t>
      </w:r>
      <w:r>
        <w:rPr>
          <w:rFonts w:ascii="Times New Roman" w:hAnsi="Times New Roman"/>
          <w:sz w:val="20"/>
        </w:rPr>
        <w:t xml:space="preserve">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press release and the Company undertakes no obligation to publicly update such forward-looking statements to reflect subsequent events or circumstances or new information. In addition, such uncertainties and other operational matters are discussed further in the Company's quarterly and annual filings with the Securities and Exchange Commission. </w:t>
      </w:r>
    </w:p>
    <w:p>
      <w:pPr>
        <w:pStyle w:val="TextBody"/>
        <w:bidi w:val="0"/>
        <w:spacing w:before="0" w:after="0"/>
        <w:ind w:left="864" w:right="864" w:hanging="0"/>
        <w:jc w:val="both"/>
        <w:rPr>
          <w:rFonts w:cs="Times New Roman"/>
          <w:szCs w:val="20"/>
        </w:rPr>
      </w:pPr>
      <w:r>
        <w:rPr>
          <w:rFonts w:cs="Times New Roman"/>
          <w:szCs w:val="20"/>
        </w:rPr>
        <w:t xml:space="preserve">﻿ </w:t>
      </w:r>
    </w:p>
    <w:p>
      <w:pPr>
        <w:pStyle w:val="TextBody"/>
        <w:bidi w:val="0"/>
        <w:spacing w:before="0" w:after="0"/>
        <w:ind w:left="720" w:right="720" w:hanging="0"/>
        <w:jc w:val="center"/>
        <w:rPr>
          <w:rFonts w:ascii="Times New Roman" w:hAnsi="Times New Roman"/>
          <w:sz w:val="24"/>
        </w:rPr>
      </w:pPr>
      <w:r>
        <w:rPr>
          <w:rFonts w:ascii="Times New Roman" w:hAnsi="Times New Roman"/>
          <w:sz w:val="24"/>
        </w:rPr>
        <w:t xml:space="preserve">2 </w:t>
      </w:r>
    </w:p>
    <w:p>
      <w:pPr>
        <w:pStyle w:val="TextBody"/>
        <w:bidi w:val="0"/>
        <w:spacing w:before="0" w:after="0"/>
        <w:ind w:left="720" w:right="720"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before="0" w:after="0"/>
        <w:ind w:left="864" w:right="864" w:hanging="0"/>
        <w:jc w:val="both"/>
        <w:rPr/>
      </w:pPr>
      <w:r>
        <w:rPr/>
        <w:t xml:space="preserve">  </w:t>
      </w:r>
    </w:p>
    <w:p>
      <w:pPr>
        <w:pStyle w:val="TextBody"/>
        <w:bidi w:val="0"/>
        <w:spacing w:before="0" w:after="0"/>
        <w:ind w:left="864" w:right="864" w:hanging="0"/>
        <w:jc w:val="center"/>
        <w:rPr>
          <w:rFonts w:ascii="Times New Roman" w:hAnsi="Times New Roman"/>
          <w:sz w:val="20"/>
        </w:rPr>
      </w:pPr>
      <w:r>
        <w:rPr>
          <w:rFonts w:ascii="Times New Roman" w:hAnsi="Times New Roman"/>
          <w:b/>
          <w:sz w:val="20"/>
        </w:rPr>
        <w:t>KOSS CORPORATION</w:t>
      </w:r>
      <w:r>
        <w:rPr>
          <w:rFonts w:ascii="Times New Roman" w:hAnsi="Times New Roman"/>
          <w:sz w:val="20"/>
        </w:rPr>
        <w:t xml:space="preserve"> </w:t>
      </w:r>
    </w:p>
    <w:p>
      <w:pPr>
        <w:pStyle w:val="TextBody"/>
        <w:bidi w:val="0"/>
        <w:spacing w:before="0" w:after="0"/>
        <w:ind w:left="864" w:right="864" w:hanging="0"/>
        <w:jc w:val="center"/>
        <w:rPr>
          <w:rFonts w:ascii="Times New Roman" w:hAnsi="Times New Roman"/>
          <w:sz w:val="20"/>
        </w:rPr>
      </w:pPr>
      <w:r>
        <w:rPr>
          <w:rFonts w:ascii="Times New Roman" w:hAnsi="Times New Roman"/>
          <w:b/>
          <w:sz w:val="20"/>
        </w:rPr>
        <w:t>CONDENSED CONSOLIDATED STATEMENTS OF OPERATIONS</w:t>
      </w:r>
      <w:r>
        <w:rPr>
          <w:rFonts w:ascii="Times New Roman" w:hAnsi="Times New Roman"/>
          <w:sz w:val="20"/>
        </w:rPr>
        <w:t xml:space="preserve"> </w:t>
      </w:r>
    </w:p>
    <w:p>
      <w:pPr>
        <w:pStyle w:val="TextBody"/>
        <w:bidi w:val="0"/>
        <w:spacing w:before="0" w:after="0"/>
        <w:ind w:left="864" w:right="864" w:hanging="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bidi w:val="0"/>
        <w:spacing w:before="0" w:after="0"/>
        <w:ind w:left="864" w:right="864" w:hanging="0"/>
        <w:jc w:val="center"/>
        <w:rPr/>
      </w:pPr>
      <w:r>
        <w:rPr/>
        <w:t xml:space="preserve">  </w:t>
      </w:r>
    </w:p>
    <w:p>
      <w:pPr>
        <w:pStyle w:val="TextBody"/>
        <w:bidi w:val="0"/>
        <w:spacing w:before="0" w:after="0"/>
        <w:ind w:left="864" w:right="864" w:hanging="0"/>
        <w:jc w:val="left"/>
        <w:rPr>
          <w:rFonts w:cs="Times New Roman"/>
          <w:szCs w:val="20"/>
        </w:rPr>
      </w:pPr>
      <w:r>
        <w:rPr>
          <w:rFonts w:cs="Times New Roman"/>
          <w:szCs w:val="20"/>
        </w:rPr>
        <w:t xml:space="preserve">﻿ </w:t>
      </w:r>
    </w:p>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left"/>
        <w:rPr>
          <w:rFonts w:cs="Times New Roman"/>
          <w:szCs w:val="2"/>
        </w:rPr>
      </w:pPr>
      <w:r>
        <w:rPr>
          <w:rFonts w:cs="Times New Roman"/>
          <w:szCs w:val="2"/>
        </w:rPr>
        <w:t xml:space="preserve">﻿ </w:t>
      </w:r>
    </w:p>
    <w:tbl>
      <w:tblPr>
        <w:tblW w:w="8235" w:type="dxa"/>
        <w:jc w:val="left"/>
        <w:tblInd w:w="720" w:type="dxa"/>
        <w:tblLayout w:type="fixed"/>
        <w:tblCellMar>
          <w:top w:w="0" w:type="dxa"/>
          <w:left w:w="0" w:type="dxa"/>
          <w:bottom w:w="0" w:type="dxa"/>
          <w:right w:w="0" w:type="dxa"/>
        </w:tblCellMar>
      </w:tblPr>
      <w:tblGrid>
        <w:gridCol w:w="3650"/>
        <w:gridCol w:w="125"/>
        <w:gridCol w:w="1010"/>
        <w:gridCol w:w="60"/>
        <w:gridCol w:w="125"/>
        <w:gridCol w:w="935"/>
        <w:gridCol w:w="60"/>
        <w:gridCol w:w="125"/>
        <w:gridCol w:w="1010"/>
        <w:gridCol w:w="60"/>
        <w:gridCol w:w="125"/>
        <w:gridCol w:w="950"/>
      </w:tblGrid>
      <w:tr>
        <w:trPr/>
        <w:tc>
          <w:tcPr>
            <w:tcW w:w="3650" w:type="dxa"/>
            <w:tcBorders/>
            <w:vAlign w:val="bottom"/>
          </w:tcPr>
          <w:p>
            <w:pPr>
              <w:pStyle w:val="TableContents"/>
              <w:bidi w:val="0"/>
              <w:spacing w:before="0" w:after="0"/>
              <w:ind w:left="0" w:right="0" w:hanging="0"/>
              <w:jc w:val="left"/>
              <w:rPr>
                <w:rFonts w:cs="Times New Roman"/>
                <w:szCs w:val="2"/>
              </w:rPr>
            </w:pPr>
            <w:r>
              <w:rPr>
                <w:rFonts w:cs="Times New Roman"/>
                <w:szCs w:val="2"/>
              </w:rPr>
              <w:t>﻿</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50" w:type="dxa"/>
            <w:tcBorders/>
            <w:vAlign w:val="bottom"/>
          </w:tcPr>
          <w:p>
            <w:pPr>
              <w:pStyle w:val="TableContents"/>
              <w:bidi w:val="0"/>
              <w:spacing w:before="0" w:after="0"/>
              <w:ind w:left="0" w:right="0" w:hanging="0"/>
              <w:jc w:val="left"/>
              <w:rPr/>
            </w:pPr>
            <w:r>
              <w:rPr/>
              <w:t> </w:t>
            </w:r>
          </w:p>
        </w:tc>
      </w:tr>
      <w:tr>
        <w:trPr/>
        <w:tc>
          <w:tcPr>
            <w:tcW w:w="3650" w:type="dxa"/>
            <w:tcBorders/>
            <w:vAlign w:val="bottom"/>
          </w:tcPr>
          <w:p>
            <w:pPr>
              <w:pStyle w:val="TableContents"/>
              <w:bidi w:val="0"/>
              <w:spacing w:before="0" w:after="0"/>
              <w:ind w:left="0" w:right="0" w:hanging="0"/>
              <w:jc w:val="left"/>
              <w:rPr>
                <w:rFonts w:cs="Calibri"/>
                <w:szCs w:val="4"/>
              </w:rPr>
            </w:pPr>
            <w:r>
              <w:rPr>
                <w:rFonts w:cs="Calibri"/>
                <w:szCs w:val="4"/>
              </w:rPr>
              <w:t>﻿</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50" w:type="dxa"/>
            <w:tcBorders/>
            <w:vAlign w:val="bottom"/>
          </w:tcPr>
          <w:p>
            <w:pPr>
              <w:pStyle w:val="TableContents"/>
              <w:bidi w:val="0"/>
              <w:spacing w:before="0" w:after="0"/>
              <w:ind w:left="0" w:right="0" w:hanging="0"/>
              <w:jc w:val="left"/>
              <w:rPr/>
            </w:pPr>
            <w:r>
              <w:rPr/>
              <w:t>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2255" w:type="dxa"/>
            <w:gridSpan w:val="5"/>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60" w:type="dxa"/>
            <w:tcBorders/>
            <w:vAlign w:val="bottom"/>
          </w:tcPr>
          <w:p>
            <w:pPr>
              <w:pStyle w:val="TableContents"/>
              <w:bidi w:val="0"/>
              <w:spacing w:before="0" w:after="0"/>
              <w:ind w:left="0" w:right="0" w:hanging="0"/>
              <w:jc w:val="center"/>
              <w:rPr/>
            </w:pPr>
            <w:r>
              <w:rPr/>
              <w:t> </w:t>
            </w:r>
          </w:p>
        </w:tc>
        <w:tc>
          <w:tcPr>
            <w:tcW w:w="2270" w:type="dxa"/>
            <w:gridSpan w:val="5"/>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2255" w:type="dxa"/>
            <w:gridSpan w:val="5"/>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p>
        </w:tc>
        <w:tc>
          <w:tcPr>
            <w:tcW w:w="60" w:type="dxa"/>
            <w:tcBorders/>
            <w:vAlign w:val="bottom"/>
          </w:tcPr>
          <w:p>
            <w:pPr>
              <w:pStyle w:val="TableContents"/>
              <w:bidi w:val="0"/>
              <w:spacing w:before="0" w:after="0"/>
              <w:ind w:left="0" w:right="0" w:hanging="0"/>
              <w:jc w:val="center"/>
              <w:rPr/>
            </w:pPr>
            <w:r>
              <w:rPr/>
              <w:t> </w:t>
            </w:r>
          </w:p>
        </w:tc>
        <w:tc>
          <w:tcPr>
            <w:tcW w:w="2270" w:type="dxa"/>
            <w:gridSpan w:val="5"/>
            <w:tcBorders>
              <w:bottom w:val="single" w:sz="8"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135" w:type="dxa"/>
            <w:gridSpan w:val="2"/>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1060" w:type="dxa"/>
            <w:gridSpan w:val="2"/>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0"/>
              <w:ind w:left="0" w:right="0" w:hanging="0"/>
              <w:jc w:val="center"/>
              <w:rPr/>
            </w:pPr>
            <w:r>
              <w:rPr/>
              <w:t> </w:t>
            </w:r>
          </w:p>
        </w:tc>
        <w:tc>
          <w:tcPr>
            <w:tcW w:w="1135" w:type="dxa"/>
            <w:gridSpan w:val="2"/>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60" w:type="dxa"/>
            <w:tcBorders>
              <w:top w:val="single" w:sz="8" w:space="0" w:color="000000"/>
            </w:tcBorders>
            <w:tcMar>
              <w:top w:w="28" w:type="dxa"/>
            </w:tcMar>
            <w:vAlign w:val="bottom"/>
          </w:tcPr>
          <w:p>
            <w:pPr>
              <w:pStyle w:val="TableContents"/>
              <w:bidi w:val="0"/>
              <w:spacing w:before="0" w:after="0"/>
              <w:ind w:left="0" w:right="0" w:hanging="0"/>
              <w:jc w:val="center"/>
              <w:rPr/>
            </w:pPr>
            <w:r>
              <w:rPr/>
              <w:t> </w:t>
            </w:r>
          </w:p>
        </w:tc>
        <w:tc>
          <w:tcPr>
            <w:tcW w:w="1075" w:type="dxa"/>
            <w:gridSpan w:val="2"/>
            <w:tcBorders>
              <w:top w:val="single" w:sz="8" w:space="0" w:color="000000"/>
              <w:bottom w:val="single" w:sz="8" w:space="0" w:color="000000"/>
            </w:tcBorders>
            <w:tcMar>
              <w:top w:w="28" w:type="dxa"/>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2024</w:t>
            </w:r>
          </w:p>
        </w:tc>
      </w:tr>
      <w:tr>
        <w:trPr/>
        <w:tc>
          <w:tcPr>
            <w:tcW w:w="365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sales</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2,861,379 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3,557,086 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6,932,157 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8" w:space="0" w:color="000000"/>
            </w:tcBorders>
            <w:shd w:fill="CCEEFF" w:val="clear"/>
            <w:tcMar>
              <w:top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top w:val="single" w:sz="8" w:space="0" w:color="000000"/>
            </w:tcBorders>
            <w:shd w:fill="CCEEFF" w:val="clear"/>
            <w:tcMar>
              <w:top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6,758,954  </w:t>
            </w:r>
          </w:p>
        </w:tc>
      </w:tr>
      <w:tr>
        <w:trPr/>
        <w:tc>
          <w:tcPr>
            <w:tcW w:w="365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Cost of goods sold</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2,030,573  </w:t>
            </w:r>
          </w:p>
        </w:tc>
        <w:tc>
          <w:tcPr>
            <w:tcW w:w="60" w:type="dxa"/>
            <w:tcBorders/>
            <w:vAlign w:val="center"/>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2,152,129  </w:t>
            </w:r>
          </w:p>
        </w:tc>
        <w:tc>
          <w:tcPr>
            <w:tcW w:w="60" w:type="dxa"/>
            <w:tcBorders/>
            <w:vAlign w:val="center"/>
          </w:tcPr>
          <w:p>
            <w:pPr>
              <w:pStyle w:val="TableContents"/>
              <w:bidi w:val="0"/>
              <w:spacing w:before="0" w:after="0"/>
              <w:ind w:left="0" w:right="0" w:hanging="0"/>
              <w:jc w:val="righ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4,472,659  </w:t>
            </w:r>
          </w:p>
        </w:tc>
        <w:tc>
          <w:tcPr>
            <w:tcW w:w="60" w:type="dxa"/>
            <w:tcBorders/>
            <w:vAlign w:val="center"/>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95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4,181,071  </w:t>
            </w:r>
          </w:p>
        </w:tc>
      </w:tr>
      <w:tr>
        <w:trPr/>
        <w:tc>
          <w:tcPr>
            <w:tcW w:w="365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Gross profit</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830,806 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1,404,957 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2,459,498 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95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2,577,883 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5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Selling, general and administrative expenses</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1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1,845,384 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1,546,741 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1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3,520,116 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5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3,356,800 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righ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5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Loss from operations</w:t>
            </w:r>
          </w:p>
        </w:tc>
        <w:tc>
          <w:tcPr>
            <w:tcW w:w="125" w:type="dxa"/>
            <w:tcBorders/>
            <w:shd w:fill="CCEEFF" w:val="clear"/>
            <w:vAlign w:val="bottom"/>
          </w:tcPr>
          <w:p>
            <w:pPr>
              <w:pStyle w:val="TableContents"/>
              <w:bidi w:val="0"/>
              <w:spacing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(1,014,578)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(141,784)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(1,060,618)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(778,917)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righ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50" w:type="dxa"/>
            <w:tcBorders/>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p>
        </w:tc>
        <w:tc>
          <w:tcPr>
            <w:tcW w:w="125" w:type="dxa"/>
            <w:tcBorders/>
            <w:shd w:fill="CCEEFF" w:val="clear"/>
            <w:vAlign w:val="bottom"/>
          </w:tcPr>
          <w:p>
            <w:pPr>
              <w:pStyle w:val="TableContents"/>
              <w:bidi w:val="0"/>
              <w:spacing w:before="0" w:after="0"/>
              <w:ind w:left="0" w:right="0" w:hanging="0"/>
              <w:jc w:val="left"/>
              <w:rPr/>
            </w:pPr>
            <w:r>
              <w:rPr/>
              <w:t> </w:t>
            </w:r>
          </w:p>
        </w:tc>
        <w:tc>
          <w:tcPr>
            <w:tcW w:w="1010"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10" w:type="dxa"/>
            <w:tcBorders/>
            <w:shd w:fill="CCEEFF" w:val="clear"/>
            <w:vAlign w:val="bottom"/>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50" w:type="dxa"/>
            <w:tcBorders/>
            <w:shd w:fill="CCEEFF" w:val="clear"/>
            <w:vAlign w:val="bottom"/>
          </w:tcPr>
          <w:p>
            <w:pPr>
              <w:pStyle w:val="TableContents"/>
              <w:bidi w:val="0"/>
              <w:spacing w:before="0" w:after="0"/>
              <w:ind w:left="0" w:right="0" w:hanging="0"/>
              <w:jc w:val="left"/>
              <w:rPr/>
            </w:pPr>
            <w:r>
              <w:rPr/>
              <w:t> </w:t>
            </w:r>
          </w:p>
        </w:tc>
      </w:tr>
      <w:tr>
        <w:trPr/>
        <w:tc>
          <w:tcPr>
            <w:tcW w:w="3650" w:type="dxa"/>
            <w:tcBorders/>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Interest income</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202,484 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238,686  </w:t>
            </w:r>
          </w:p>
        </w:tc>
        <w:tc>
          <w:tcPr>
            <w:tcW w:w="60" w:type="dxa"/>
            <w:tcBorders/>
            <w:vAlign w:val="center"/>
          </w:tcPr>
          <w:p>
            <w:pPr>
              <w:pStyle w:val="TableContents"/>
              <w:bidi w:val="0"/>
              <w:spacing w:before="0" w:after="0"/>
              <w:ind w:left="0" w:right="0" w:hanging="0"/>
              <w:jc w:val="righ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495,612 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5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459,044  </w:t>
            </w:r>
          </w:p>
        </w:tc>
      </w:tr>
      <w:tr>
        <w:trPr/>
        <w:tc>
          <w:tcPr>
            <w:tcW w:w="3650" w:type="dxa"/>
            <w:tcBorders/>
            <w:shd w:fill="CCEEFF" w:val="clear"/>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Other income</w:t>
            </w:r>
          </w:p>
        </w:tc>
        <w:tc>
          <w:tcPr>
            <w:tcW w:w="125" w:type="dxa"/>
            <w:tcBorders/>
            <w:shd w:fill="CCEEFF" w:val="clear"/>
            <w:vAlign w:val="bottom"/>
          </w:tcPr>
          <w:p>
            <w:pPr>
              <w:pStyle w:val="TableContents"/>
              <w:bidi w:val="0"/>
              <w:spacing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250,000 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0"/>
              <w:ind w:left="0" w:right="65" w:hanging="0"/>
              <w:jc w:val="right"/>
              <w:rPr/>
            </w:pPr>
            <w:r>
              <w:rPr/>
              <w:t>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250,000 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50" w:type="dxa"/>
            <w:tcBorders/>
            <w:shd w:fill="CCEEFF" w:val="clear"/>
            <w:vAlign w:val="bottom"/>
          </w:tcPr>
          <w:p>
            <w:pPr>
              <w:pStyle w:val="TableContents"/>
              <w:bidi w:val="0"/>
              <w:spacing w:before="0" w:after="0"/>
              <w:ind w:left="0" w:right="65" w:hanging="0"/>
              <w:jc w:val="right"/>
              <w:rPr/>
            </w:pPr>
            <w:r>
              <w:rPr/>
              <w:t> —</w:t>
            </w:r>
          </w:p>
        </w:tc>
      </w:tr>
      <w:tr>
        <w:trPr/>
        <w:tc>
          <w:tcPr>
            <w:tcW w:w="3650" w:type="dxa"/>
            <w:tcBorders/>
            <w:vAlign w:val="bottom"/>
          </w:tcPr>
          <w:p>
            <w:pPr>
              <w:pStyle w:val="TableContents"/>
              <w:bidi w:val="0"/>
              <w:spacing w:before="0" w:after="0"/>
              <w:ind w:left="120" w:right="0" w:hanging="0"/>
              <w:jc w:val="left"/>
              <w:rPr>
                <w:rFonts w:ascii="Times New Roman" w:hAnsi="Times New Roman"/>
                <w:sz w:val="20"/>
              </w:rPr>
            </w:pPr>
            <w:r>
              <w:rPr>
                <w:rFonts w:ascii="Times New Roman" w:hAnsi="Times New Roman"/>
                <w:sz w:val="20"/>
              </w:rPr>
              <w:t>Interest expense</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(553) </w:t>
            </w:r>
          </w:p>
        </w:tc>
        <w:tc>
          <w:tcPr>
            <w:tcW w:w="60" w:type="dxa"/>
            <w:tcBorders/>
            <w:vAlign w:val="center"/>
          </w:tcPr>
          <w:p>
            <w:pPr>
              <w:pStyle w:val="TableContents"/>
              <w:bidi w:val="0"/>
              <w:spacing w:before="0" w:after="0"/>
              <w:ind w:left="0" w:right="0" w:hanging="0"/>
              <w:jc w:val="left"/>
              <w:rPr/>
            </w:pPr>
            <w:r>
              <w:rPr/>
              <w:t> </w:t>
            </w:r>
          </w:p>
        </w:tc>
        <w:tc>
          <w:tcPr>
            <w:tcW w:w="125" w:type="dxa"/>
            <w:tcBorders>
              <w:bottom w:val="single" w:sz="8" w:space="0" w:color="000000"/>
            </w:tcBorders>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tcMar>
              <w:bottom w:w="28" w:type="dxa"/>
            </w:tcMar>
            <w:vAlign w:val="bottom"/>
          </w:tcPr>
          <w:p>
            <w:pPr>
              <w:pStyle w:val="TableContents"/>
              <w:bidi w:val="0"/>
              <w:spacing w:before="0" w:after="0"/>
              <w:ind w:left="0" w:right="65" w:hanging="0"/>
              <w:jc w:val="right"/>
              <w:rPr/>
            </w:pPr>
            <w:r>
              <w:rPr/>
              <w:t> —</w:t>
            </w:r>
          </w:p>
        </w:tc>
        <w:tc>
          <w:tcPr>
            <w:tcW w:w="60" w:type="dxa"/>
            <w:tcBorders/>
            <w:vAlign w:val="center"/>
          </w:tcPr>
          <w:p>
            <w:pPr>
              <w:pStyle w:val="TableContents"/>
              <w:bidi w:val="0"/>
              <w:spacing w:before="0" w:after="0"/>
              <w:ind w:left="0" w:right="0" w:hanging="0"/>
              <w:jc w:val="righ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bottom w:val="single" w:sz="8"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(1,152)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50" w:type="dxa"/>
            <w:tcBorders>
              <w:bottom w:val="single" w:sz="8" w:space="0" w:color="000000"/>
            </w:tcBorders>
            <w:tcMar>
              <w:bottom w:w="28" w:type="dxa"/>
            </w:tcMar>
            <w:vAlign w:val="bottom"/>
          </w:tcPr>
          <w:p>
            <w:pPr>
              <w:pStyle w:val="TableContents"/>
              <w:bidi w:val="0"/>
              <w:spacing w:before="0" w:after="0"/>
              <w:ind w:left="0" w:right="65" w:hanging="0"/>
              <w:jc w:val="right"/>
              <w:rPr/>
            </w:pPr>
            <w:r>
              <w:rPr/>
              <w:t> —</w:t>
            </w:r>
          </w:p>
        </w:tc>
      </w:tr>
      <w:tr>
        <w:trPr/>
        <w:tc>
          <w:tcPr>
            <w:tcW w:w="3650"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Total other income, net</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451,931 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238,686 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744,460 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50" w:type="dxa"/>
            <w:tcBorders>
              <w:top w:val="single" w:sz="8" w:space="0" w:color="000000"/>
              <w:bottom w:val="single" w:sz="8" w:space="0" w:color="000000"/>
            </w:tcBorders>
            <w:shd w:fill="CCEEFF" w:val="clear"/>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459,044 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righ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5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Income (loss) before income tax provision</w:t>
            </w:r>
          </w:p>
        </w:tc>
        <w:tc>
          <w:tcPr>
            <w:tcW w:w="125" w:type="dxa"/>
            <w:tcBorders/>
            <w:shd w:fill="CCEEFF" w:val="clear"/>
            <w:vAlign w:val="bottom"/>
          </w:tcPr>
          <w:p>
            <w:pPr>
              <w:pStyle w:val="TableContents"/>
              <w:bidi w:val="0"/>
              <w:spacing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(562,647)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3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96,902 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101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(316,158)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bottom"/>
          </w:tcPr>
          <w:p>
            <w:pPr>
              <w:pStyle w:val="TableContents"/>
              <w:bidi w:val="0"/>
              <w:spacing w:before="0" w:after="0"/>
              <w:ind w:left="0" w:right="0" w:hanging="0"/>
              <w:jc w:val="left"/>
              <w:rPr/>
            </w:pPr>
            <w:r>
              <w:rPr/>
              <w:t> </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(319,873)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50" w:type="dxa"/>
            <w:tcBorders/>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provision</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1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2,760 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35"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2,760 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1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5,520 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8"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50" w:type="dxa"/>
            <w:tcBorders>
              <w:bottom w:val="single" w:sz="8"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5,520 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c>
          <w:tcPr>
            <w:tcW w:w="950" w:type="dxa"/>
            <w:tcBorders>
              <w:top w:val="single" w:sz="8"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Net income (loss)</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(565,407)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94,142 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(321,678)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(325,393)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950"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(loss) per common share:</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50" w:type="dxa"/>
            <w:tcBorders/>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Basic</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(0.06)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0.01 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(0.03)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(0.03) </w:t>
            </w:r>
          </w:p>
        </w:tc>
      </w:tr>
      <w:tr>
        <w:trPr/>
        <w:tc>
          <w:tcPr>
            <w:tcW w:w="3650" w:type="dxa"/>
            <w:tcBorders/>
            <w:vAlign w:val="bottom"/>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Diluted</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(0.06)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5"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0.01  </w:t>
            </w:r>
          </w:p>
        </w:tc>
        <w:tc>
          <w:tcPr>
            <w:tcW w:w="60" w:type="dxa"/>
            <w:tcBorders/>
            <w:vAlign w:val="center"/>
          </w:tcPr>
          <w:p>
            <w:pPr>
              <w:pStyle w:val="TableContents"/>
              <w:bidi w:val="0"/>
              <w:spacing w:before="0" w:after="0"/>
              <w:ind w:left="0" w:right="0" w:hanging="0"/>
              <w:jc w:val="right"/>
              <w:rPr/>
            </w:pPr>
            <w:r>
              <w:rPr/>
              <w:t> </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(0.03)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(0.03) </w:t>
            </w:r>
          </w:p>
        </w:tc>
      </w:tr>
      <w:tr>
        <w:trPr/>
        <w:tc>
          <w:tcPr>
            <w:tcW w:w="3650" w:type="dxa"/>
            <w:tcBorders/>
            <w:vAlign w:val="bottom"/>
          </w:tcPr>
          <w:p>
            <w:pPr>
              <w:pStyle w:val="TableContents"/>
              <w:bidi w:val="0"/>
              <w:spacing w:before="0" w:after="0"/>
              <w:ind w:left="0" w:right="0" w:hanging="0"/>
              <w:jc w:val="left"/>
              <w:rPr>
                <w:rFonts w:cs="Times New Roman"/>
                <w:szCs w:val="20"/>
              </w:rPr>
            </w:pPr>
            <w:r>
              <w:rPr>
                <w:rFonts w:cs="Times New Roman"/>
                <w:szCs w:val="20"/>
              </w:rPr>
              <w:t>﻿</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93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1010"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c>
          <w:tcPr>
            <w:tcW w:w="950" w:type="dxa"/>
            <w:tcBorders>
              <w:top w:val="double" w:sz="5" w:space="0" w:color="000000"/>
            </w:tcBorders>
            <w:tcMar>
              <w:top w:w="28" w:type="dxa"/>
            </w:tcMar>
            <w:vAlign w:val="bottom"/>
          </w:tcPr>
          <w:p>
            <w:pPr>
              <w:pStyle w:val="TableContents"/>
              <w:bidi w:val="0"/>
              <w:spacing w:before="0" w:after="0"/>
              <w:ind w:left="0" w:right="0" w:hanging="0"/>
              <w:jc w:val="left"/>
              <w:rPr/>
            </w:pPr>
            <w:r>
              <w:rPr/>
              <w:t> </w:t>
            </w:r>
          </w:p>
        </w:tc>
      </w:tr>
      <w:tr>
        <w:trPr/>
        <w:tc>
          <w:tcPr>
            <w:tcW w:w="365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Weighted-average number of shares:</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35"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1010" w:type="dxa"/>
            <w:tcBorders/>
            <w:vAlign w:val="bottom"/>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bottom"/>
          </w:tcPr>
          <w:p>
            <w:pPr>
              <w:pStyle w:val="TableContents"/>
              <w:bidi w:val="0"/>
              <w:spacing w:before="0" w:after="0"/>
              <w:ind w:left="0" w:right="0" w:hanging="0"/>
              <w:jc w:val="left"/>
              <w:rPr/>
            </w:pPr>
            <w:r>
              <w:rPr/>
              <w:t> </w:t>
            </w:r>
          </w:p>
        </w:tc>
        <w:tc>
          <w:tcPr>
            <w:tcW w:w="950" w:type="dxa"/>
            <w:tcBorders/>
            <w:vAlign w:val="bottom"/>
          </w:tcPr>
          <w:p>
            <w:pPr>
              <w:pStyle w:val="TableContents"/>
              <w:bidi w:val="0"/>
              <w:spacing w:before="0" w:after="0"/>
              <w:ind w:left="0" w:right="0" w:hanging="0"/>
              <w:jc w:val="left"/>
              <w:rPr/>
            </w:pPr>
            <w:r>
              <w:rPr/>
              <w:t> </w:t>
            </w:r>
          </w:p>
        </w:tc>
      </w:tr>
      <w:tr>
        <w:trPr/>
        <w:tc>
          <w:tcPr>
            <w:tcW w:w="3650" w:type="dxa"/>
            <w:tcBorders/>
            <w:shd w:fill="CCEEFF" w:val="clear"/>
            <w:vAlign w:val="bottom"/>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Basic</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10"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9,462,416 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35"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9,355,686  </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1010"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9,459,427 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5" w:space="0" w:color="000000"/>
            </w:tcBorders>
            <w:shd w:fill="CCEEFF" w:val="clear"/>
            <w:tcMar>
              <w:bottom w:w="28" w:type="dxa"/>
            </w:tcMar>
            <w:vAlign w:val="bottom"/>
          </w:tcPr>
          <w:p>
            <w:pPr>
              <w:pStyle w:val="TableContents"/>
              <w:bidi w:val="0"/>
              <w:spacing w:before="0" w:after="0"/>
              <w:ind w:left="0" w:right="0" w:hanging="0"/>
              <w:jc w:val="left"/>
              <w:rPr/>
            </w:pPr>
            <w:r>
              <w:rPr/>
              <w:t> </w:t>
            </w:r>
          </w:p>
        </w:tc>
        <w:tc>
          <w:tcPr>
            <w:tcW w:w="950" w:type="dxa"/>
            <w:tcBorders>
              <w:bottom w:val="double" w:sz="5"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9,332,844  </w:t>
            </w:r>
          </w:p>
        </w:tc>
      </w:tr>
      <w:tr>
        <w:trPr/>
        <w:tc>
          <w:tcPr>
            <w:tcW w:w="3650" w:type="dxa"/>
            <w:tcBorders/>
            <w:vAlign w:val="bottom"/>
          </w:tcPr>
          <w:p>
            <w:pPr>
              <w:pStyle w:val="TableContents"/>
              <w:bidi w:val="0"/>
              <w:spacing w:before="0" w:after="0"/>
              <w:ind w:left="600" w:right="0" w:hanging="0"/>
              <w:jc w:val="left"/>
              <w:rPr>
                <w:rFonts w:ascii="Times New Roman" w:hAnsi="Times New Roman"/>
                <w:sz w:val="20"/>
              </w:rPr>
            </w:pPr>
            <w:r>
              <w:rPr>
                <w:rFonts w:ascii="Times New Roman" w:hAnsi="Times New Roman"/>
                <w:sz w:val="20"/>
              </w:rPr>
              <w:t>Diluted</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10"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9,462,416 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pPr>
            <w:r>
              <w:rPr/>
              <w:t> </w:t>
            </w:r>
          </w:p>
        </w:tc>
        <w:tc>
          <w:tcPr>
            <w:tcW w:w="935"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9,629,535  </w:t>
            </w:r>
          </w:p>
        </w:tc>
        <w:tc>
          <w:tcPr>
            <w:tcW w:w="60" w:type="dxa"/>
            <w:tcBorders/>
            <w:vAlign w:val="center"/>
          </w:tcPr>
          <w:p>
            <w:pPr>
              <w:pStyle w:val="TableContents"/>
              <w:bidi w:val="0"/>
              <w:spacing w:before="0" w:after="0"/>
              <w:ind w:left="0" w:right="0" w:hanging="0"/>
              <w:jc w:val="right"/>
              <w:rPr/>
            </w:pPr>
            <w:r>
              <w:rPr/>
              <w:t> </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pPr>
            <w:r>
              <w:rPr/>
              <w:t> </w:t>
            </w:r>
          </w:p>
        </w:tc>
        <w:tc>
          <w:tcPr>
            <w:tcW w:w="1010"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9,459,427  </w:t>
            </w:r>
          </w:p>
        </w:tc>
        <w:tc>
          <w:tcPr>
            <w:tcW w:w="60" w:type="dxa"/>
            <w:tcBorders/>
            <w:vAlign w:val="center"/>
          </w:tcPr>
          <w:p>
            <w:pPr>
              <w:pStyle w:val="TableContents"/>
              <w:bidi w:val="0"/>
              <w:spacing w:before="0" w:after="0"/>
              <w:ind w:left="0" w:right="0" w:hanging="0"/>
              <w:jc w:val="left"/>
              <w:rPr/>
            </w:pPr>
            <w:r>
              <w:rPr/>
              <w:t> </w:t>
            </w:r>
          </w:p>
        </w:tc>
        <w:tc>
          <w:tcPr>
            <w:tcW w:w="125" w:type="dxa"/>
            <w:tcBorders>
              <w:top w:val="double" w:sz="5" w:space="0" w:color="000000"/>
              <w:bottom w:val="double" w:sz="5" w:space="0" w:color="000000"/>
            </w:tcBorders>
            <w:tcMar>
              <w:top w:w="28" w:type="dxa"/>
              <w:bottom w:w="28" w:type="dxa"/>
            </w:tcMar>
            <w:vAlign w:val="bottom"/>
          </w:tcPr>
          <w:p>
            <w:pPr>
              <w:pStyle w:val="TableContents"/>
              <w:bidi w:val="0"/>
              <w:spacing w:before="0" w:after="0"/>
              <w:ind w:left="0" w:right="0" w:hanging="0"/>
              <w:jc w:val="left"/>
              <w:rPr/>
            </w:pPr>
            <w:r>
              <w:rPr/>
              <w:t> </w:t>
            </w:r>
          </w:p>
        </w:tc>
        <w:tc>
          <w:tcPr>
            <w:tcW w:w="950" w:type="dxa"/>
            <w:tcBorders>
              <w:top w:val="double" w:sz="5" w:space="0" w:color="000000"/>
              <w:bottom w:val="double" w:sz="5" w:space="0" w:color="000000"/>
            </w:tcBorders>
            <w:tcMar>
              <w:top w:w="28" w:type="dxa"/>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 xml:space="preserve">9,332,844  </w:t>
            </w:r>
          </w:p>
        </w:tc>
      </w:tr>
    </w:tbl>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left"/>
        <w:rPr>
          <w:rFonts w:cs="Times New Roman"/>
          <w:szCs w:val="24"/>
        </w:rPr>
      </w:pPr>
      <w:r>
        <w:rPr>
          <w:rFonts w:cs="Times New Roman"/>
          <w:szCs w:val="24"/>
        </w:rPr>
        <w:t xml:space="preserve">﻿ </w:t>
      </w:r>
    </w:p>
    <w:p>
      <w:pPr>
        <w:pStyle w:val="TextBody"/>
        <w:bidi w:val="0"/>
        <w:spacing w:before="0" w:after="0"/>
        <w:ind w:left="720" w:right="720" w:hanging="0"/>
        <w:jc w:val="center"/>
        <w:rPr>
          <w:rFonts w:ascii="Times New Roman" w:hAnsi="Times New Roman"/>
          <w:sz w:val="24"/>
        </w:rPr>
      </w:pPr>
      <w:r>
        <w:rPr>
          <w:rFonts w:ascii="Times New Roman" w:hAnsi="Times New Roman"/>
          <w:sz w:val="24"/>
        </w:rPr>
        <w:t xml:space="preserve">3 </w:t>
      </w:r>
    </w:p>
    <w:p>
      <w:pPr>
        <w:pStyle w:val="TextBody"/>
        <w:bidi w:val="0"/>
        <w:spacing w:before="0" w:after="0"/>
        <w:ind w:left="720" w:right="720" w:hanging="0"/>
        <w:jc w:val="left"/>
        <w:rPr/>
      </w:pPr>
      <w:r>
        <w:rPr/>
        <w:t xml:space="preserve">  </w: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1589</Words>
  <Characters>8876</Characters>
  <CharactersWithSpaces>10713</CharactersWithSpaces>
  <Paragraphs>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