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rPr/>
      </w:pPr>
      <w:hyperlink w:anchor="TableofContents">
        <w:bookmarkStart w:id="0" w:name="koss-20250930x10q.htm"/>
        <w:bookmarkStart w:id="1" w:name="kskoss20250930x10q"/>
        <w:bookmarkEnd w:id="0"/>
        <w:bookmarkEnd w:id="1"/>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UNITED STATES</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SECURITIES AND EXCHANGE COMMISSION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36"/>
        </w:rPr>
      </w:pPr>
      <w:r>
        <w:rPr>
          <w:rFonts w:ascii="Times New Roman;serif" w:hAnsi="Times New Roman;serif"/>
          <w:b/>
          <w:i w:val="false"/>
          <w:caps w:val="false"/>
          <w:smallCaps w:val="false"/>
          <w:sz w:val="36"/>
        </w:rPr>
        <w:t>Form 10-Q</w:t>
      </w:r>
      <w:r>
        <w:rPr>
          <w:rFonts w:ascii="Times New Roman;serif" w:hAnsi="Times New Roman;serif"/>
          <w:caps w:val="false"/>
          <w:smallCaps w:val="false"/>
          <w:sz w:val="36"/>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    </w:t>
      </w:r>
      <w:r>
        <w:rPr>
          <w:rFonts w:ascii="Times New Roman;serif" w:hAnsi="Times New Roman;serif"/>
          <w:b/>
          <w:i w:val="false"/>
          <w:caps w:val="false"/>
          <w:smallCaps w:val="false"/>
          <w:sz w:val="20"/>
        </w:rPr>
        <w:t>QUARTERLY REPORT PURSUANT TO SECTION 13 OR 15(d) OF THE SECURITIES EXCHANGE ACT OF 1934</w:t>
      </w:r>
    </w:p>
    <w:p>
      <w:pPr>
        <w:pStyle w:val="TextBody"/>
        <w:bidi w:val="0"/>
        <w:spacing w:lineRule="auto" w:line="259"/>
        <w:rPr/>
      </w:pPr>
      <w:r>
        <w:rPr>
          <w:caps w:val="false"/>
          <w:smallCaps w:val="false"/>
        </w:rPr>
        <w:t> </w:t>
      </w:r>
      <w:r>
        <w:rPr>
          <w:rFonts w:ascii="Times New Roman;serif" w:hAnsi="Times New Roman;serif"/>
          <w:b/>
          <w:i w:val="false"/>
          <w:caps w:val="false"/>
          <w:smallCaps w:val="false"/>
          <w:sz w:val="20"/>
        </w:rPr>
        <w:t>for the quarterly period ended September 30, 2025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OR</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    </w:t>
      </w:r>
      <w:r>
        <w:rPr>
          <w:rFonts w:ascii="Times New Roman;serif" w:hAnsi="Times New Roman;serif"/>
          <w:b/>
          <w:i w:val="false"/>
          <w:caps w:val="false"/>
          <w:smallCaps w:val="false"/>
          <w:sz w:val="20"/>
        </w:rPr>
        <w:t>TRANSITION REPORT PURSUANT TO SECTION 13 OR 15(d) OF THE SECURITIES EXCHANGE ACT OF 1934</w:t>
      </w:r>
    </w:p>
    <w:p>
      <w:pPr>
        <w:pStyle w:val="TextBody"/>
        <w:bidi w:val="0"/>
        <w:spacing w:lineRule="auto" w:line="259"/>
        <w:rPr/>
      </w:pPr>
      <w:r>
        <w:rPr>
          <w:caps w:val="false"/>
          <w:smallCaps w:val="false"/>
        </w:rPr>
        <w:t> </w:t>
      </w:r>
      <w:r>
        <w:rPr>
          <w:rFonts w:ascii="Times New Roman;serif" w:hAnsi="Times New Roman;serif"/>
          <w:b/>
          <w:i w:val="false"/>
          <w:caps w:val="false"/>
          <w:smallCaps w:val="false"/>
          <w:sz w:val="20"/>
        </w:rPr>
        <w:t>Commission File Number 0-3295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KOSS CORPORATION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(Exact Name of Registrant as Specified in its Charter)</w:t>
      </w:r>
    </w:p>
    <w:p>
      <w:pPr>
        <w:pStyle w:val="TextBody"/>
        <w:bidi w:val="0"/>
        <w:spacing w:lineRule="auto" w:line="259"/>
        <w:rPr>
          <w:caps w:val="false"/>
          <w:smallCaps w:val="false"/>
        </w:rPr>
      </w:pPr>
      <w:r>
        <w:rPr>
          <w:caps w:val="false"/>
          <w:smallCaps w:val="false"/>
        </w:rPr>
        <w:t> </w:t>
      </w:r>
    </w:p>
    <w:tbl>
      <w:tblPr>
        <w:tblW w:w="5758" w:type="dxa"/>
        <w:jc w:val="left"/>
        <w:tblInd w:w="0" w:type="dxa"/>
        <w:tblLayout w:type="fixed"/>
        <w:tblCellMar>
          <w:top w:w="0" w:type="dxa"/>
          <w:left w:w="0" w:type="dxa"/>
          <w:bottom w:w="0" w:type="dxa"/>
          <w:right w:w="0" w:type="dxa"/>
        </w:tblCellMar>
      </w:tblPr>
      <w:tblGrid>
        <w:gridCol w:w="2581"/>
        <w:gridCol w:w="146"/>
        <w:gridCol w:w="303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258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DELAWARE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30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39-1168275</w:t>
            </w:r>
          </w:p>
        </w:tc>
      </w:tr>
      <w:tr>
        <w:trPr/>
        <w:tc>
          <w:tcPr>
            <w:tcW w:w="25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(State or other jurisdiction of</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30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(I.R.S. Employer Identification No.)</w:t>
            </w:r>
          </w:p>
        </w:tc>
      </w:tr>
      <w:tr>
        <w:trPr/>
        <w:tc>
          <w:tcPr>
            <w:tcW w:w="25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incorporation or organization)</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303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 </w:t>
            </w:r>
          </w:p>
        </w:tc>
      </w:tr>
    </w:tbl>
    <w:p>
      <w:pPr>
        <w:pStyle w:val="TextBody"/>
        <w:bidi w:val="0"/>
        <w:spacing w:lineRule="auto" w:line="259"/>
        <w:rPr>
          <w:caps w:val="false"/>
          <w:smallCaps w:val="false"/>
        </w:rPr>
      </w:pPr>
      <w:r>
        <w:rPr>
          <w:caps w:val="false"/>
          <w:smallCaps w:val="false"/>
        </w:rPr>
        <w:t> </w:t>
      </w:r>
    </w:p>
    <w:tbl>
      <w:tblPr>
        <w:tblW w:w="5533" w:type="dxa"/>
        <w:jc w:val="left"/>
        <w:tblInd w:w="0" w:type="dxa"/>
        <w:tblLayout w:type="fixed"/>
        <w:tblCellMar>
          <w:top w:w="0" w:type="dxa"/>
          <w:left w:w="0" w:type="dxa"/>
          <w:bottom w:w="0" w:type="dxa"/>
          <w:right w:w="0" w:type="dxa"/>
        </w:tblCellMar>
      </w:tblPr>
      <w:tblGrid>
        <w:gridCol w:w="4351"/>
        <w:gridCol w:w="146"/>
        <w:gridCol w:w="1036"/>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4351" w:type="dxa"/>
            <w:tcBorders/>
            <w:vAlign w:val="center"/>
          </w:tcPr>
          <w:p>
            <w:pPr>
              <w:pStyle w:val="TableContents"/>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t>4129 North Port Washington Avenue,</w:t>
            </w:r>
            <w:r>
              <w:rPr>
                <w:rFonts w:ascii="Times New Roman;serif" w:hAnsi="Times New Roman;serif"/>
                <w:caps w:val="false"/>
                <w:smallCaps w:val="false"/>
                <w:color w:val="000000"/>
                <w:sz w:val="20"/>
              </w:rPr>
              <w:t xml:space="preserve"> </w:t>
            </w:r>
            <w:r>
              <w:rPr>
                <w:rFonts w:ascii="Times New Roman;serif" w:hAnsi="Times New Roman;serif"/>
                <w:b/>
                <w:i w:val="false"/>
                <w:caps w:val="false"/>
                <w:smallCaps w:val="false"/>
                <w:color w:val="000000"/>
                <w:sz w:val="20"/>
              </w:rPr>
              <w:t xml:space="preserve">Milwaukee, </w:t>
            </w:r>
          </w:p>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Wisconsin</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3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53212</w:t>
            </w:r>
          </w:p>
        </w:tc>
      </w:tr>
      <w:tr>
        <w:trPr/>
        <w:tc>
          <w:tcPr>
            <w:tcW w:w="43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(Address of principal executive offices)</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(Zip Code)</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Registrant’s telephone number, including area code: </w:t>
      </w:r>
      <w:r>
        <w:rPr>
          <w:rFonts w:ascii="Times New Roman;serif" w:hAnsi="Times New Roman;serif"/>
          <w:b/>
          <w:i w:val="false"/>
          <w:caps w:val="false"/>
          <w:smallCaps w:val="false"/>
          <w:sz w:val="20"/>
        </w:rPr>
        <w:t>(414) 964-5000</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12(b) of the Act:</w:t>
      </w:r>
    </w:p>
    <w:p>
      <w:pPr>
        <w:pStyle w:val="TextBody"/>
        <w:bidi w:val="0"/>
        <w:spacing w:lineRule="auto" w:line="259"/>
        <w:rPr>
          <w:caps w:val="false"/>
          <w:smallCaps w:val="false"/>
        </w:rPr>
      </w:pPr>
      <w:r>
        <w:rPr>
          <w:caps w:val="false"/>
          <w:smallCaps w:val="false"/>
        </w:rPr>
        <w:t> </w:t>
      </w:r>
    </w:p>
    <w:tbl>
      <w:tblPr>
        <w:tblW w:w="8928" w:type="dxa"/>
        <w:jc w:val="left"/>
        <w:tblInd w:w="-10" w:type="dxa"/>
        <w:tblLayout w:type="fixed"/>
        <w:tblCellMar>
          <w:top w:w="28" w:type="dxa"/>
          <w:left w:w="108" w:type="dxa"/>
          <w:bottom w:w="28" w:type="dxa"/>
          <w:right w:w="0" w:type="dxa"/>
        </w:tblCellMar>
      </w:tblPr>
      <w:tblGrid>
        <w:gridCol w:w="3601"/>
        <w:gridCol w:w="1621"/>
        <w:gridCol w:w="3706"/>
      </w:tblGrid>
      <w:tr>
        <w:trPr/>
        <w:tc>
          <w:tcPr>
            <w:tcW w:w="3601"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sz w:val="4"/>
                <w:szCs w:val="4"/>
              </w:rPr>
            </w:pPr>
            <w:r>
              <w:rPr>
                <w:sz w:val="4"/>
                <w:szCs w:val="4"/>
              </w:rPr>
            </w:r>
          </w:p>
        </w:tc>
        <w:tc>
          <w:tcPr>
            <w:tcW w:w="1621" w:type="dxa"/>
            <w:tcBorders>
              <w:top w:val="single" w:sz="8" w:space="0" w:color="000000"/>
              <w:bottom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3706"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sz w:val="4"/>
                <w:szCs w:val="4"/>
              </w:rPr>
            </w:pPr>
            <w:r>
              <w:rPr>
                <w:sz w:val="4"/>
                <w:szCs w:val="4"/>
              </w:rPr>
            </w:r>
          </w:p>
        </w:tc>
      </w:tr>
      <w:tr>
        <w:trPr/>
        <w:tc>
          <w:tcPr>
            <w:tcW w:w="3601" w:type="dxa"/>
            <w:tcBorders>
              <w:top w:val="single" w:sz="8" w:space="0" w:color="000000"/>
              <w:left w:val="single" w:sz="8" w:space="0" w:color="000000"/>
              <w:bottom w:val="single" w:sz="8" w:space="0" w:color="000000"/>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Title of each class</w:t>
            </w:r>
          </w:p>
        </w:tc>
        <w:tc>
          <w:tcPr>
            <w:tcW w:w="1621"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Trading Symbol(s)</w:t>
            </w:r>
          </w:p>
        </w:tc>
        <w:tc>
          <w:tcPr>
            <w:tcW w:w="3706"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Name of each exchange on which registered</w:t>
            </w:r>
          </w:p>
        </w:tc>
      </w:tr>
      <w:tr>
        <w:trPr/>
        <w:tc>
          <w:tcPr>
            <w:tcW w:w="3601" w:type="dxa"/>
            <w:tcBorders>
              <w:left w:val="single" w:sz="8" w:space="0" w:color="000000"/>
              <w:bottom w:val="single" w:sz="8" w:space="0" w:color="000000"/>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Common Stock, par value $0.005 per share</w:t>
            </w:r>
          </w:p>
        </w:tc>
        <w:tc>
          <w:tcPr>
            <w:tcW w:w="1621"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KOSS</w:t>
            </w:r>
          </w:p>
        </w:tc>
        <w:tc>
          <w:tcPr>
            <w:tcW w:w="3706" w:type="dxa"/>
            <w:tcBorders>
              <w:bottom w:val="single" w:sz="8" w:space="0" w:color="000000"/>
              <w:right w:val="single" w:sz="8" w:space="0" w:color="000000"/>
            </w:tcBorders>
            <w:tcMar>
              <w:top w:w="0" w:type="dxa"/>
              <w:left w:w="0" w:type="dxa"/>
              <w:right w:w="10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Nasdaq</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Capital Market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 </w:t>
      </w:r>
      <w:r>
        <w:rPr>
          <w:rFonts w:ascii="Times New Roman;serif" w:hAnsi="Times New Roman;serif"/>
          <w:caps w:val="false"/>
          <w:smallCaps w:val="false"/>
          <w:sz w:val="20"/>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 </w:t>
      </w:r>
      <w:r>
        <w:rPr>
          <w:rFonts w:ascii="Times New Roman;serif" w:hAnsi="Times New Roman;serif"/>
          <w:caps w:val="false"/>
          <w:smallCaps w:val="false"/>
          <w:sz w:val="20"/>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59"/>
        <w:rPr>
          <w:caps w:val="false"/>
          <w:smallCaps w:val="false"/>
        </w:rPr>
      </w:pPr>
      <w:r>
        <w:rPr>
          <w:caps w:val="false"/>
          <w:smallCaps w:val="false"/>
        </w:rPr>
        <w:t> </w:t>
      </w:r>
    </w:p>
    <w:tbl>
      <w:tblPr>
        <w:tblW w:w="4873" w:type="dxa"/>
        <w:jc w:val="left"/>
        <w:tblInd w:w="0" w:type="dxa"/>
        <w:tblLayout w:type="fixed"/>
        <w:tblCellMar>
          <w:top w:w="0" w:type="dxa"/>
          <w:left w:w="0" w:type="dxa"/>
          <w:bottom w:w="0" w:type="dxa"/>
          <w:right w:w="0" w:type="dxa"/>
        </w:tblCellMar>
      </w:tblPr>
      <w:tblGrid>
        <w:gridCol w:w="2146"/>
        <w:gridCol w:w="146"/>
        <w:gridCol w:w="258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Large accelerated filer </w:t>
            </w:r>
            <w:r>
              <w:rPr>
                <w:rFonts w:ascii="Times New Roman;serif" w:hAnsi="Times New Roman;serif"/>
                <w:caps w:val="false"/>
                <w:smallCaps w:val="false"/>
                <w:color w:val="000000"/>
                <w:sz w:val="20"/>
              </w:rPr>
              <w:t>☐</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58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Accelerated filer </w:t>
            </w:r>
            <w:r>
              <w:rPr>
                <w:rFonts w:ascii="Times New Roman;serif" w:hAnsi="Times New Roman;serif"/>
                <w:caps w:val="false"/>
                <w:smallCaps w:val="false"/>
                <w:color w:val="000000"/>
                <w:sz w:val="20"/>
              </w:rPr>
              <w:t>☐</w:t>
            </w:r>
          </w:p>
        </w:tc>
      </w:tr>
      <w:tr>
        <w:trPr/>
        <w:tc>
          <w:tcPr>
            <w:tcW w:w="214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58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 </w:t>
            </w:r>
          </w:p>
        </w:tc>
      </w:tr>
      <w:tr>
        <w:trPr/>
        <w:tc>
          <w:tcPr>
            <w:tcW w:w="214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Non-accelerated filer</w:t>
            </w:r>
            <w:r>
              <w:rPr>
                <w:rFonts w:ascii="Times New Roman;serif" w:hAnsi="Times New Roman;serif"/>
                <w:caps w:val="false"/>
                <w:smallCaps w:val="false"/>
                <w:color w:val="000000"/>
                <w:sz w:val="2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58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Smaller reporting company </w:t>
            </w:r>
            <w:r>
              <w:rPr>
                <w:rFonts w:ascii="Times New Roman;serif" w:hAnsi="Times New Roman;serif"/>
                <w:caps w:val="false"/>
                <w:smallCaps w:val="false"/>
                <w:color w:val="000000"/>
                <w:sz w:val="20"/>
              </w:rPr>
              <w:t>☑</w:t>
            </w:r>
          </w:p>
        </w:tc>
      </w:tr>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58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 </w:t>
            </w:r>
          </w:p>
        </w:tc>
      </w:tr>
      <w:tr>
        <w:trPr/>
        <w:tc>
          <w:tcPr>
            <w:tcW w:w="2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58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Emerging growth company </w:t>
            </w:r>
            <w:r>
              <w:rPr>
                <w:rFonts w:ascii="Times New Roman;serif" w:hAnsi="Times New Roman;serif"/>
                <w:caps w:val="false"/>
                <w:smallCaps w:val="false"/>
                <w:color w:val="000000"/>
                <w:sz w:val="20"/>
              </w:rPr>
              <w: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caps w:val="false"/>
          <w:smallCaps w:val="false"/>
          <w:sz w:val="20"/>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Indicate by check mark whether the registrant is a shell company (as defined in Rule 12b-2 of the Exchange Act.).  Yes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No </w:t>
      </w:r>
      <w:r>
        <w:rPr>
          <w:rFonts w:ascii="Times New Roman;serif" w:hAnsi="Times New Roman;serif"/>
          <w:caps w:val="false"/>
          <w:smallCaps w:val="false"/>
          <w:sz w:val="20"/>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At October 27, 2025, there were 9,456,438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shares outstanding of the registrant’s common stock. </w:t>
      </w:r>
    </w:p>
    <w:p>
      <w:pPr>
        <w:pStyle w:val="TextBody"/>
        <w:bidi w:val="0"/>
        <w:spacing w:lineRule="auto" w:line="259"/>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w:t>
      </w:r>
      <w:bookmarkStart w:id="2" w:name="TableofContents"/>
      <w:bookmarkEnd w:id="2"/>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FORM 10-Q</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September 30, 2025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INDEX</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8"/>
        <w:gridCol w:w="731"/>
        <w:gridCol w:w="8184"/>
        <w:gridCol w:w="542"/>
      </w:tblGrid>
      <w:tr>
        <w:trPr/>
        <w:tc>
          <w:tcPr>
            <w:tcW w:w="74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818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748"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73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8184"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54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Page</w:t>
            </w:r>
          </w:p>
        </w:tc>
      </w:tr>
      <w:tr>
        <w:trPr/>
        <w:tc>
          <w:tcPr>
            <w:tcW w:w="748"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73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8184"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542" w:type="dxa"/>
            <w:tcBorders/>
            <w:vAlign w:val="center"/>
          </w:tcPr>
          <w:p>
            <w:pPr>
              <w:pStyle w:val="TableContents"/>
              <w:bidi w:val="0"/>
              <w:spacing w:before="0" w:after="283"/>
              <w:jc w:val="left"/>
              <w:rPr>
                <w:sz w:val="4"/>
                <w:szCs w:val="4"/>
              </w:rPr>
            </w:pPr>
            <w:r>
              <w:rPr>
                <w:sz w:val="4"/>
                <w:szCs w:val="4"/>
              </w:rPr>
            </w:r>
          </w:p>
        </w:tc>
      </w:tr>
      <w:tr>
        <w:trPr/>
        <w:tc>
          <w:tcPr>
            <w:tcW w:w="748" w:type="dxa"/>
            <w:tcBorders/>
            <w:shd w:fill="CCEEFF" w:val="clear"/>
            <w:vAlign w:val="center"/>
          </w:tcPr>
          <w:p>
            <w:pPr>
              <w:pStyle w:val="TableContents"/>
              <w:bidi w:val="0"/>
              <w:spacing w:lineRule="auto" w:line="259" w:before="0" w:after="283"/>
              <w:jc w:val="left"/>
              <w:rPr/>
            </w:pPr>
            <w:hyperlink w:anchor="Part1_FinancialInformation">
              <w:r>
                <w:rPr>
                  <w:rStyle w:val="InternetLink"/>
                  <w:rFonts w:ascii="Times New Roman;serif" w:hAnsi="Times New Roman;serif"/>
                  <w:b w:val="false"/>
                  <w:i w:val="false"/>
                  <w:caps w:val="false"/>
                  <w:smallCaps w:val="false"/>
                  <w:color w:val="0000FF"/>
                  <w:sz w:val="20"/>
                  <w:u w:val="single"/>
                </w:rPr>
                <w:t>PART I</w:t>
              </w:r>
            </w:hyperlink>
          </w:p>
        </w:tc>
        <w:tc>
          <w:tcPr>
            <w:tcW w:w="8915" w:type="dxa"/>
            <w:gridSpan w:val="2"/>
            <w:tcBorders/>
            <w:shd w:fill="CCEEFF" w:val="clear"/>
            <w:vAlign w:val="center"/>
          </w:tcPr>
          <w:p>
            <w:pPr>
              <w:pStyle w:val="TableContents"/>
              <w:bidi w:val="0"/>
              <w:spacing w:lineRule="auto" w:line="259" w:before="0" w:after="283"/>
              <w:jc w:val="left"/>
              <w:rPr/>
            </w:pPr>
            <w:hyperlink w:anchor="Part1_FinancialInformation">
              <w:r>
                <w:rPr>
                  <w:rStyle w:val="InternetLink"/>
                  <w:rFonts w:ascii="Times New Roman;serif" w:hAnsi="Times New Roman;serif"/>
                  <w:b w:val="false"/>
                  <w:i w:val="false"/>
                  <w:caps w:val="false"/>
                  <w:smallCaps w:val="false"/>
                  <w:strike w:val="false"/>
                  <w:dstrike w:val="false"/>
                  <w:color w:val="0000FF"/>
                  <w:sz w:val="20"/>
                  <w:u w:val="single"/>
                  <w:effect w:val="none"/>
                </w:rPr>
                <w:t>FINANCIAL INFORMATION</w:t>
              </w:r>
            </w:hyperlink>
          </w:p>
        </w:tc>
        <w:tc>
          <w:tcPr>
            <w:tcW w:w="54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748"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731" w:type="dxa"/>
            <w:tcBorders/>
            <w:vAlign w:val="center"/>
          </w:tcPr>
          <w:p>
            <w:pPr>
              <w:pStyle w:val="TableContents"/>
              <w:bidi w:val="0"/>
              <w:spacing w:lineRule="auto" w:line="259" w:before="0" w:after="283"/>
              <w:jc w:val="left"/>
              <w:rPr/>
            </w:pPr>
            <w:hyperlink w:anchor="Item1_FinancialStatements">
              <w:r>
                <w:rPr>
                  <w:rStyle w:val="InternetLink"/>
                  <w:rFonts w:ascii="Times New Roman;serif" w:hAnsi="Times New Roman;serif"/>
                  <w:b w:val="false"/>
                  <w:i w:val="false"/>
                  <w:caps w:val="false"/>
                  <w:smallCaps w:val="false"/>
                  <w:strike w:val="false"/>
                  <w:dstrike w:val="false"/>
                  <w:color w:val="0000FF"/>
                  <w:sz w:val="20"/>
                  <w:u w:val="single"/>
                  <w:effect w:val="none"/>
                </w:rPr>
                <w:t>Item 1.</w:t>
              </w:r>
            </w:hyperlink>
          </w:p>
        </w:tc>
        <w:tc>
          <w:tcPr>
            <w:tcW w:w="8184" w:type="dxa"/>
            <w:tcBorders/>
            <w:vAlign w:val="center"/>
          </w:tcPr>
          <w:p>
            <w:pPr>
              <w:pStyle w:val="TableContents"/>
              <w:bidi w:val="0"/>
              <w:spacing w:lineRule="auto" w:line="259" w:before="0" w:after="283"/>
              <w:jc w:val="left"/>
              <w:rPr/>
            </w:pPr>
            <w:hyperlink w:anchor="Item1_FinancialStatements">
              <w:r>
                <w:rPr>
                  <w:rStyle w:val="InternetLink"/>
                  <w:rFonts w:ascii="Times New Roman;serif" w:hAnsi="Times New Roman;serif"/>
                  <w:b w:val="false"/>
                  <w:i w:val="false"/>
                  <w:caps w:val="false"/>
                  <w:smallCaps w:val="false"/>
                  <w:strike w:val="false"/>
                  <w:dstrike w:val="false"/>
                  <w:color w:val="0000FF"/>
                  <w:sz w:val="20"/>
                  <w:u w:val="single"/>
                  <w:effect w:val="none"/>
                </w:rPr>
                <w:t>Financial Statements (Unaudited)</w:t>
              </w:r>
            </w:hyperlink>
          </w:p>
        </w:tc>
        <w:tc>
          <w:tcPr>
            <w:tcW w:w="54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748"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731"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8184" w:type="dxa"/>
            <w:tcBorders/>
            <w:shd w:fill="CCEEFF" w:val="clear"/>
            <w:vAlign w:val="center"/>
          </w:tcPr>
          <w:p>
            <w:pPr>
              <w:pStyle w:val="TableContents"/>
              <w:bidi w:val="0"/>
              <w:spacing w:lineRule="auto" w:line="259" w:before="0" w:after="283"/>
              <w:jc w:val="left"/>
              <w:rPr/>
            </w:pPr>
            <w:hyperlink w:anchor="BS">
              <w:r>
                <w:rPr>
                  <w:rStyle w:val="InternetLink"/>
                  <w:rFonts w:ascii="Times New Roman;serif" w:hAnsi="Times New Roman;serif"/>
                  <w:b w:val="false"/>
                  <w:i w:val="false"/>
                  <w:caps w:val="false"/>
                  <w:smallCaps w:val="false"/>
                  <w:strike w:val="false"/>
                  <w:dstrike w:val="false"/>
                  <w:color w:val="0000FF"/>
                  <w:sz w:val="20"/>
                  <w:u w:val="single"/>
                  <w:effect w:val="none"/>
                </w:rPr>
                <w:t>Condensed Consolidated Balance Sheets as of September 30, 2025 and June 30, 202</w:t>
              </w:r>
            </w:hyperlink>
            <w:r>
              <w:rPr>
                <w:rFonts w:ascii="Times New Roman;serif" w:hAnsi="Times New Roman;serif"/>
                <w:b w:val="false"/>
                <w:i w:val="false"/>
                <w:caps w:val="false"/>
                <w:smallCaps w:val="false"/>
                <w:color w:val="0000FF"/>
                <w:sz w:val="20"/>
                <w:u w:val="single"/>
              </w:rPr>
              <w:t>5</w:t>
            </w:r>
          </w:p>
        </w:tc>
        <w:tc>
          <w:tcPr>
            <w:tcW w:w="54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748"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73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8184" w:type="dxa"/>
            <w:tcBorders/>
            <w:vAlign w:val="center"/>
          </w:tcPr>
          <w:p>
            <w:pPr>
              <w:pStyle w:val="TableContents"/>
              <w:bidi w:val="0"/>
              <w:spacing w:lineRule="auto" w:line="259" w:before="0" w:after="283"/>
              <w:jc w:val="left"/>
              <w:rPr/>
            </w:pPr>
            <w:hyperlink w:anchor="IS">
              <w:r>
                <w:rPr>
                  <w:rStyle w:val="InternetLink"/>
                  <w:rFonts w:ascii="Times New Roman;serif" w:hAnsi="Times New Roman;serif"/>
                  <w:b w:val="false"/>
                  <w:i w:val="false"/>
                  <w:caps w:val="false"/>
                  <w:smallCaps w:val="false"/>
                  <w:strike w:val="false"/>
                  <w:dstrike w:val="false"/>
                  <w:color w:val="0000FF"/>
                  <w:sz w:val="20"/>
                  <w:u w:val="single"/>
                  <w:effect w:val="none"/>
                </w:rPr>
                <w:t>Condensed Consolidated Statements of Operations for the Three Months Ended September 30, 2025 and 2024</w:t>
              </w:r>
            </w:hyperlink>
          </w:p>
        </w:tc>
        <w:tc>
          <w:tcPr>
            <w:tcW w:w="54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r>
      <w:tr>
        <w:trPr/>
        <w:tc>
          <w:tcPr>
            <w:tcW w:w="748"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731"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8184" w:type="dxa"/>
            <w:tcBorders/>
            <w:shd w:fill="CCEEFF" w:val="clear"/>
            <w:vAlign w:val="center"/>
          </w:tcPr>
          <w:p>
            <w:pPr>
              <w:pStyle w:val="TableContents"/>
              <w:bidi w:val="0"/>
              <w:spacing w:lineRule="auto" w:line="259" w:before="0" w:after="283"/>
              <w:jc w:val="left"/>
              <w:rPr/>
            </w:pPr>
            <w:hyperlink w:anchor="CF">
              <w:r>
                <w:rPr>
                  <w:rStyle w:val="InternetLink"/>
                  <w:rFonts w:ascii="Times New Roman;serif" w:hAnsi="Times New Roman;serif"/>
                  <w:b w:val="false"/>
                  <w:i w:val="false"/>
                  <w:caps w:val="false"/>
                  <w:smallCaps w:val="false"/>
                  <w:strike w:val="false"/>
                  <w:dstrike w:val="false"/>
                  <w:color w:val="0000FF"/>
                  <w:sz w:val="20"/>
                  <w:u w:val="single"/>
                  <w:effect w:val="none"/>
                </w:rPr>
                <w:t>Condensed Consolidated Statements of Cash Flows for the Three Months Ended September 30, 2025 and 2024</w:t>
              </w:r>
            </w:hyperlink>
          </w:p>
        </w:tc>
        <w:tc>
          <w:tcPr>
            <w:tcW w:w="54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r>
      <w:tr>
        <w:trPr/>
        <w:tc>
          <w:tcPr>
            <w:tcW w:w="748"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73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8184" w:type="dxa"/>
            <w:tcBorders/>
            <w:vAlign w:val="center"/>
          </w:tcPr>
          <w:p>
            <w:pPr>
              <w:pStyle w:val="TableContents"/>
              <w:bidi w:val="0"/>
              <w:spacing w:lineRule="auto" w:line="259" w:before="0" w:after="283"/>
              <w:jc w:val="left"/>
              <w:rPr/>
            </w:pPr>
            <w:hyperlink w:anchor="SE">
              <w:r>
                <w:rPr>
                  <w:rStyle w:val="InternetLink"/>
                  <w:rFonts w:ascii="Times New Roman;serif" w:hAnsi="Times New Roman;serif"/>
                  <w:b w:val="false"/>
                  <w:i w:val="false"/>
                  <w:caps w:val="false"/>
                  <w:smallCaps w:val="false"/>
                  <w:strike w:val="false"/>
                  <w:dstrike w:val="false"/>
                  <w:color w:val="0000FF"/>
                  <w:sz w:val="20"/>
                  <w:u w:val="single"/>
                  <w:effect w:val="none"/>
                </w:rPr>
                <w:t>Condensed Consolidated Statements of Stockholders’ Equity for the Three Months Ended September 30, 2025 and 2024</w:t>
              </w:r>
            </w:hyperlink>
          </w:p>
        </w:tc>
        <w:tc>
          <w:tcPr>
            <w:tcW w:w="54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tc>
      </w:tr>
      <w:tr>
        <w:trPr/>
        <w:tc>
          <w:tcPr>
            <w:tcW w:w="748"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731"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8184" w:type="dxa"/>
            <w:tcBorders/>
            <w:shd w:fill="CCEEFF" w:val="clear"/>
            <w:vAlign w:val="center"/>
          </w:tcPr>
          <w:p>
            <w:pPr>
              <w:pStyle w:val="TableContents"/>
              <w:bidi w:val="0"/>
              <w:spacing w:lineRule="auto" w:line="259" w:before="0" w:after="283"/>
              <w:jc w:val="left"/>
              <w:rPr/>
            </w:pPr>
            <w:hyperlink w:anchor="Notes_FinancialStatements">
              <w:r>
                <w:rPr>
                  <w:rStyle w:val="InternetLink"/>
                  <w:rFonts w:ascii="Times New Roman;serif" w:hAnsi="Times New Roman;serif"/>
                  <w:b w:val="false"/>
                  <w:i w:val="false"/>
                  <w:caps w:val="false"/>
                  <w:smallCaps w:val="false"/>
                  <w:strike w:val="false"/>
                  <w:dstrike w:val="false"/>
                  <w:color w:val="0000FF"/>
                  <w:sz w:val="20"/>
                  <w:u w:val="single"/>
                  <w:effect w:val="none"/>
                </w:rPr>
                <w:t>Notes to Condensed Consolidated Financial Statements</w:t>
              </w:r>
            </w:hyperlink>
          </w:p>
        </w:tc>
        <w:tc>
          <w:tcPr>
            <w:tcW w:w="54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tc>
      </w:tr>
      <w:tr>
        <w:trPr/>
        <w:tc>
          <w:tcPr>
            <w:tcW w:w="748"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731" w:type="dxa"/>
            <w:tcBorders/>
            <w:vAlign w:val="center"/>
          </w:tcPr>
          <w:p>
            <w:pPr>
              <w:pStyle w:val="TableContents"/>
              <w:bidi w:val="0"/>
              <w:spacing w:lineRule="auto" w:line="259" w:before="0" w:after="283"/>
              <w:jc w:val="left"/>
              <w:rPr/>
            </w:pPr>
            <w:hyperlink w:anchor="MDAA">
              <w:r>
                <w:rPr>
                  <w:rStyle w:val="InternetLink"/>
                  <w:rFonts w:ascii="Times New Roman;serif" w:hAnsi="Times New Roman;serif"/>
                  <w:b w:val="false"/>
                  <w:i w:val="false"/>
                  <w:caps w:val="false"/>
                  <w:smallCaps w:val="false"/>
                  <w:strike w:val="false"/>
                  <w:dstrike w:val="false"/>
                  <w:color w:val="0000FF"/>
                  <w:sz w:val="20"/>
                  <w:u w:val="single"/>
                  <w:effect w:val="none"/>
                </w:rPr>
                <w:t>Item 2.</w:t>
              </w:r>
            </w:hyperlink>
          </w:p>
        </w:tc>
        <w:tc>
          <w:tcPr>
            <w:tcW w:w="8184" w:type="dxa"/>
            <w:tcBorders/>
            <w:vAlign w:val="center"/>
          </w:tcPr>
          <w:p>
            <w:pPr>
              <w:pStyle w:val="TableContents"/>
              <w:bidi w:val="0"/>
              <w:spacing w:lineRule="auto" w:line="259" w:before="0" w:after="283"/>
              <w:jc w:val="left"/>
              <w:rPr/>
            </w:pPr>
            <w:hyperlink w:anchor="MDAA">
              <w:r>
                <w:rPr>
                  <w:rStyle w:val="InternetLink"/>
                  <w:rFonts w:ascii="Times New Roman;serif" w:hAnsi="Times New Roman;serif"/>
                  <w:b w:val="false"/>
                  <w:i w:val="false"/>
                  <w:caps w:val="false"/>
                  <w:smallCaps w:val="false"/>
                  <w:strike w:val="false"/>
                  <w:dstrike w:val="false"/>
                  <w:color w:val="0000FF"/>
                  <w:sz w:val="20"/>
                  <w:u w:val="single"/>
                  <w:effect w:val="none"/>
                </w:rPr>
                <w:t>Management's Discussion and Analysis of Financial Condition and Results of Operations</w:t>
              </w:r>
            </w:hyperlink>
          </w:p>
        </w:tc>
        <w:tc>
          <w:tcPr>
            <w:tcW w:w="54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tc>
      </w:tr>
      <w:tr>
        <w:trPr/>
        <w:tc>
          <w:tcPr>
            <w:tcW w:w="748"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731" w:type="dxa"/>
            <w:tcBorders/>
            <w:shd w:fill="CCEEFF" w:val="clear"/>
            <w:vAlign w:val="center"/>
          </w:tcPr>
          <w:p>
            <w:pPr>
              <w:pStyle w:val="TableContents"/>
              <w:bidi w:val="0"/>
              <w:spacing w:lineRule="auto" w:line="259" w:before="0" w:after="283"/>
              <w:jc w:val="left"/>
              <w:rPr/>
            </w:pPr>
            <w:hyperlink w:anchor="Quantitative_Qualitative_Market_Risk">
              <w:r>
                <w:rPr>
                  <w:rStyle w:val="InternetLink"/>
                  <w:rFonts w:ascii="Times New Roman;serif" w:hAnsi="Times New Roman;serif"/>
                  <w:b w:val="false"/>
                  <w:i w:val="false"/>
                  <w:caps w:val="false"/>
                  <w:smallCaps w:val="false"/>
                  <w:strike w:val="false"/>
                  <w:dstrike w:val="false"/>
                  <w:color w:val="0000FF"/>
                  <w:sz w:val="20"/>
                  <w:u w:val="single"/>
                  <w:effect w:val="none"/>
                </w:rPr>
                <w:t>Item 3.</w:t>
              </w:r>
            </w:hyperlink>
          </w:p>
        </w:tc>
        <w:tc>
          <w:tcPr>
            <w:tcW w:w="8184" w:type="dxa"/>
            <w:tcBorders/>
            <w:shd w:fill="CCEEFF" w:val="clear"/>
            <w:vAlign w:val="center"/>
          </w:tcPr>
          <w:p>
            <w:pPr>
              <w:pStyle w:val="TableContents"/>
              <w:bidi w:val="0"/>
              <w:spacing w:lineRule="auto" w:line="259" w:before="0" w:after="283"/>
              <w:jc w:val="left"/>
              <w:rPr/>
            </w:pPr>
            <w:hyperlink w:anchor="Quantitative_Qualitative_Market_Risk">
              <w:r>
                <w:rPr>
                  <w:rStyle w:val="InternetLink"/>
                  <w:rFonts w:ascii="Times New Roman;serif" w:hAnsi="Times New Roman;serif"/>
                  <w:b w:val="false"/>
                  <w:i w:val="false"/>
                  <w:caps w:val="false"/>
                  <w:smallCaps w:val="false"/>
                  <w:strike w:val="false"/>
                  <w:dstrike w:val="false"/>
                  <w:color w:val="0000FF"/>
                  <w:sz w:val="20"/>
                  <w:u w:val="single"/>
                  <w:effect w:val="none"/>
                </w:rPr>
                <w:t>Quantitative and Qualitative Disclosures About Market Risk</w:t>
              </w:r>
            </w:hyperlink>
          </w:p>
        </w:tc>
        <w:tc>
          <w:tcPr>
            <w:tcW w:w="54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tc>
      </w:tr>
      <w:tr>
        <w:trPr/>
        <w:tc>
          <w:tcPr>
            <w:tcW w:w="748"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731" w:type="dxa"/>
            <w:tcBorders/>
            <w:vAlign w:val="center"/>
          </w:tcPr>
          <w:p>
            <w:pPr>
              <w:pStyle w:val="TableContents"/>
              <w:bidi w:val="0"/>
              <w:spacing w:lineRule="auto" w:line="259" w:before="0" w:after="283"/>
              <w:jc w:val="left"/>
              <w:rPr/>
            </w:pPr>
            <w:hyperlink w:anchor="Controls_Procedures">
              <w:r>
                <w:rPr>
                  <w:rStyle w:val="InternetLink"/>
                  <w:rFonts w:ascii="Times New Roman;serif" w:hAnsi="Times New Roman;serif"/>
                  <w:b w:val="false"/>
                  <w:i w:val="false"/>
                  <w:caps w:val="false"/>
                  <w:smallCaps w:val="false"/>
                  <w:strike w:val="false"/>
                  <w:dstrike w:val="false"/>
                  <w:color w:val="0000FF"/>
                  <w:sz w:val="20"/>
                  <w:u w:val="single"/>
                  <w:effect w:val="none"/>
                </w:rPr>
                <w:t>Item 4.</w:t>
              </w:r>
            </w:hyperlink>
          </w:p>
        </w:tc>
        <w:tc>
          <w:tcPr>
            <w:tcW w:w="8184" w:type="dxa"/>
            <w:tcBorders/>
            <w:vAlign w:val="center"/>
          </w:tcPr>
          <w:p>
            <w:pPr>
              <w:pStyle w:val="TableContents"/>
              <w:bidi w:val="0"/>
              <w:spacing w:lineRule="auto" w:line="259" w:before="0" w:after="283"/>
              <w:jc w:val="left"/>
              <w:rPr/>
            </w:pPr>
            <w:hyperlink w:anchor="Controls_Procedures">
              <w:r>
                <w:rPr>
                  <w:rStyle w:val="InternetLink"/>
                  <w:rFonts w:ascii="Times New Roman;serif" w:hAnsi="Times New Roman;serif"/>
                  <w:b w:val="false"/>
                  <w:i w:val="false"/>
                  <w:caps w:val="false"/>
                  <w:smallCaps w:val="false"/>
                  <w:strike w:val="false"/>
                  <w:dstrike w:val="false"/>
                  <w:color w:val="0000FF"/>
                  <w:sz w:val="20"/>
                  <w:u w:val="single"/>
                  <w:effect w:val="none"/>
                </w:rPr>
                <w:t>Controls and Procedures</w:t>
              </w:r>
            </w:hyperlink>
          </w:p>
        </w:tc>
        <w:tc>
          <w:tcPr>
            <w:tcW w:w="54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tc>
      </w:tr>
      <w:tr>
        <w:trPr/>
        <w:tc>
          <w:tcPr>
            <w:tcW w:w="748" w:type="dxa"/>
            <w:tcBorders/>
            <w:shd w:fill="CCEEFF" w:val="clear"/>
            <w:vAlign w:val="center"/>
          </w:tcPr>
          <w:p>
            <w:pPr>
              <w:pStyle w:val="TableContents"/>
              <w:bidi w:val="0"/>
              <w:spacing w:lineRule="auto" w:line="259" w:before="0" w:after="283"/>
              <w:jc w:val="left"/>
              <w:rPr/>
            </w:pPr>
            <w:hyperlink w:anchor="Part2_OtherInformation">
              <w:r>
                <w:rPr>
                  <w:rStyle w:val="InternetLink"/>
                  <w:rFonts w:ascii="Times New Roman;serif" w:hAnsi="Times New Roman;serif"/>
                  <w:b w:val="false"/>
                  <w:i w:val="false"/>
                  <w:caps w:val="false"/>
                  <w:smallCaps w:val="false"/>
                  <w:strike w:val="false"/>
                  <w:dstrike w:val="false"/>
                  <w:color w:val="0000FF"/>
                  <w:sz w:val="20"/>
                  <w:u w:val="single"/>
                  <w:effect w:val="none"/>
                </w:rPr>
                <w:t>PART II</w:t>
              </w:r>
            </w:hyperlink>
          </w:p>
        </w:tc>
        <w:tc>
          <w:tcPr>
            <w:tcW w:w="8915" w:type="dxa"/>
            <w:gridSpan w:val="2"/>
            <w:tcBorders/>
            <w:shd w:fill="CCEEFF" w:val="clear"/>
            <w:vAlign w:val="center"/>
          </w:tcPr>
          <w:p>
            <w:pPr>
              <w:pStyle w:val="TableContents"/>
              <w:bidi w:val="0"/>
              <w:spacing w:lineRule="auto" w:line="259" w:before="0" w:after="283"/>
              <w:jc w:val="left"/>
              <w:rPr/>
            </w:pPr>
            <w:hyperlink w:anchor="Part2_OtherInformation">
              <w:r>
                <w:rPr>
                  <w:rStyle w:val="InternetLink"/>
                  <w:rFonts w:ascii="Times New Roman;serif" w:hAnsi="Times New Roman;serif"/>
                  <w:b w:val="false"/>
                  <w:i w:val="false"/>
                  <w:caps w:val="false"/>
                  <w:smallCaps w:val="false"/>
                  <w:strike w:val="false"/>
                  <w:dstrike w:val="false"/>
                  <w:color w:val="0000FF"/>
                  <w:sz w:val="20"/>
                  <w:u w:val="single"/>
                  <w:effect w:val="none"/>
                </w:rPr>
                <w:t>OTHER INFORMATION</w:t>
              </w:r>
            </w:hyperlink>
          </w:p>
        </w:tc>
        <w:tc>
          <w:tcPr>
            <w:tcW w:w="54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tc>
      </w:tr>
      <w:tr>
        <w:trPr/>
        <w:tc>
          <w:tcPr>
            <w:tcW w:w="748"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731" w:type="dxa"/>
            <w:tcBorders/>
            <w:vAlign w:val="center"/>
          </w:tcPr>
          <w:p>
            <w:pPr>
              <w:pStyle w:val="TableContents"/>
              <w:bidi w:val="0"/>
              <w:spacing w:lineRule="auto" w:line="259" w:before="0" w:after="283"/>
              <w:jc w:val="left"/>
              <w:rPr/>
            </w:pPr>
            <w:hyperlink w:anchor="Legal_Proceedings">
              <w:r>
                <w:rPr>
                  <w:rStyle w:val="InternetLink"/>
                  <w:rFonts w:ascii="Times New Roman;serif" w:hAnsi="Times New Roman;serif"/>
                  <w:b w:val="false"/>
                  <w:i w:val="false"/>
                  <w:caps w:val="false"/>
                  <w:smallCaps w:val="false"/>
                  <w:strike w:val="false"/>
                  <w:dstrike w:val="false"/>
                  <w:color w:val="0000FF"/>
                  <w:sz w:val="20"/>
                  <w:u w:val="single"/>
                  <w:effect w:val="none"/>
                </w:rPr>
                <w:t>Item 1.</w:t>
              </w:r>
            </w:hyperlink>
          </w:p>
        </w:tc>
        <w:tc>
          <w:tcPr>
            <w:tcW w:w="8184" w:type="dxa"/>
            <w:tcBorders/>
            <w:vAlign w:val="center"/>
          </w:tcPr>
          <w:p>
            <w:pPr>
              <w:pStyle w:val="TableContents"/>
              <w:bidi w:val="0"/>
              <w:spacing w:lineRule="auto" w:line="259" w:before="0" w:after="283"/>
              <w:jc w:val="left"/>
              <w:rPr/>
            </w:pPr>
            <w:hyperlink w:anchor="Legal_Proceedings">
              <w:r>
                <w:rPr>
                  <w:rStyle w:val="InternetLink"/>
                  <w:rFonts w:ascii="Times New Roman;serif" w:hAnsi="Times New Roman;serif"/>
                  <w:b w:val="false"/>
                  <w:i w:val="false"/>
                  <w:caps w:val="false"/>
                  <w:smallCaps w:val="false"/>
                  <w:strike w:val="false"/>
                  <w:dstrike w:val="false"/>
                  <w:color w:val="0000FF"/>
                  <w:sz w:val="20"/>
                  <w:u w:val="single"/>
                  <w:effect w:val="none"/>
                </w:rPr>
                <w:t>Legal Proceedings</w:t>
              </w:r>
            </w:hyperlink>
          </w:p>
        </w:tc>
        <w:tc>
          <w:tcPr>
            <w:tcW w:w="54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tc>
      </w:tr>
      <w:tr>
        <w:trPr/>
        <w:tc>
          <w:tcPr>
            <w:tcW w:w="748" w:type="dxa"/>
            <w:tcBorders/>
            <w:shd w:fill="CCEEFF" w:val="clear"/>
            <w:vAlign w:val="center"/>
          </w:tcPr>
          <w:p>
            <w:pPr>
              <w:pStyle w:val="TableContents"/>
              <w:bidi w:val="0"/>
              <w:spacing w:before="0" w:after="283"/>
              <w:jc w:val="left"/>
              <w:rPr>
                <w:sz w:val="4"/>
                <w:szCs w:val="4"/>
              </w:rPr>
            </w:pPr>
            <w:r>
              <w:rPr>
                <w:sz w:val="4"/>
                <w:szCs w:val="4"/>
              </w:rPr>
            </w:r>
          </w:p>
        </w:tc>
        <w:tc>
          <w:tcPr>
            <w:tcW w:w="731" w:type="dxa"/>
            <w:tcBorders/>
            <w:shd w:fill="CCEEFF" w:val="clear"/>
            <w:vAlign w:val="center"/>
          </w:tcPr>
          <w:p>
            <w:pPr>
              <w:pStyle w:val="TableContents"/>
              <w:bidi w:val="0"/>
              <w:spacing w:lineRule="auto" w:line="259" w:before="0" w:after="283"/>
              <w:jc w:val="left"/>
              <w:rPr/>
            </w:pPr>
            <w:hyperlink w:anchor="RiskFactors">
              <w:r>
                <w:rPr>
                  <w:rStyle w:val="InternetLink"/>
                  <w:rFonts w:ascii="Times New Roman;serif" w:hAnsi="Times New Roman;serif"/>
                  <w:b w:val="false"/>
                  <w:i w:val="false"/>
                  <w:caps w:val="false"/>
                  <w:smallCaps w:val="false"/>
                  <w:strike w:val="false"/>
                  <w:dstrike w:val="false"/>
                  <w:color w:val="0000FF"/>
                  <w:sz w:val="20"/>
                  <w:u w:val="single"/>
                  <w:effect w:val="none"/>
                </w:rPr>
                <w:t>Item 1A.</w:t>
              </w:r>
            </w:hyperlink>
          </w:p>
        </w:tc>
        <w:tc>
          <w:tcPr>
            <w:tcW w:w="8184" w:type="dxa"/>
            <w:tcBorders/>
            <w:shd w:fill="CCEEFF" w:val="clear"/>
            <w:vAlign w:val="center"/>
          </w:tcPr>
          <w:p>
            <w:pPr>
              <w:pStyle w:val="TableContents"/>
              <w:bidi w:val="0"/>
              <w:spacing w:lineRule="auto" w:line="259" w:before="0" w:after="283"/>
              <w:jc w:val="left"/>
              <w:rPr/>
            </w:pPr>
            <w:hyperlink w:anchor="RiskFactors">
              <w:r>
                <w:rPr>
                  <w:rStyle w:val="InternetLink"/>
                  <w:rFonts w:ascii="Times New Roman;serif" w:hAnsi="Times New Roman;serif"/>
                  <w:b w:val="false"/>
                  <w:i w:val="false"/>
                  <w:caps w:val="false"/>
                  <w:smallCaps w:val="false"/>
                  <w:strike w:val="false"/>
                  <w:dstrike w:val="false"/>
                  <w:color w:val="0000FF"/>
                  <w:sz w:val="20"/>
                  <w:u w:val="single"/>
                  <w:effect w:val="none"/>
                </w:rPr>
                <w:t>Risk Factors</w:t>
              </w:r>
            </w:hyperlink>
          </w:p>
        </w:tc>
        <w:tc>
          <w:tcPr>
            <w:tcW w:w="54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tc>
      </w:tr>
      <w:tr>
        <w:trPr/>
        <w:tc>
          <w:tcPr>
            <w:tcW w:w="748"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731" w:type="dxa"/>
            <w:tcBorders/>
            <w:vAlign w:val="center"/>
          </w:tcPr>
          <w:p>
            <w:pPr>
              <w:pStyle w:val="TableContents"/>
              <w:bidi w:val="0"/>
              <w:spacing w:lineRule="auto" w:line="259" w:before="0" w:after="283"/>
              <w:jc w:val="left"/>
              <w:rPr/>
            </w:pPr>
            <w:hyperlink w:anchor="Unregisterd_Equity_Securities">
              <w:r>
                <w:rPr>
                  <w:rStyle w:val="InternetLink"/>
                  <w:rFonts w:ascii="Times New Roman;serif" w:hAnsi="Times New Roman;serif"/>
                  <w:b w:val="false"/>
                  <w:i w:val="false"/>
                  <w:caps w:val="false"/>
                  <w:smallCaps w:val="false"/>
                  <w:strike w:val="false"/>
                  <w:dstrike w:val="false"/>
                  <w:color w:val="0000FF"/>
                  <w:sz w:val="20"/>
                  <w:u w:val="single"/>
                  <w:effect w:val="none"/>
                </w:rPr>
                <w:t>Item 2.</w:t>
              </w:r>
            </w:hyperlink>
          </w:p>
        </w:tc>
        <w:tc>
          <w:tcPr>
            <w:tcW w:w="8184" w:type="dxa"/>
            <w:tcBorders/>
            <w:vAlign w:val="center"/>
          </w:tcPr>
          <w:p>
            <w:pPr>
              <w:pStyle w:val="TableContents"/>
              <w:bidi w:val="0"/>
              <w:spacing w:lineRule="auto" w:line="259" w:before="0" w:after="283"/>
              <w:jc w:val="left"/>
              <w:rPr/>
            </w:pPr>
            <w:hyperlink w:anchor="Unregisterd_Equity_Securities">
              <w:r>
                <w:rPr>
                  <w:rStyle w:val="InternetLink"/>
                  <w:rFonts w:ascii="Times New Roman;serif" w:hAnsi="Times New Roman;serif"/>
                  <w:b w:val="false"/>
                  <w:i w:val="false"/>
                  <w:caps w:val="false"/>
                  <w:smallCaps w:val="false"/>
                  <w:strike w:val="false"/>
                  <w:dstrike w:val="false"/>
                  <w:color w:val="0000FF"/>
                  <w:sz w:val="20"/>
                  <w:u w:val="single"/>
                  <w:effect w:val="none"/>
                </w:rPr>
                <w:t>Unregistered Sales of Equity Securities and Use of Proceeds</w:t>
              </w:r>
            </w:hyperlink>
          </w:p>
        </w:tc>
        <w:tc>
          <w:tcPr>
            <w:tcW w:w="54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tc>
      </w:tr>
      <w:tr>
        <w:trPr/>
        <w:tc>
          <w:tcPr>
            <w:tcW w:w="748"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731" w:type="dxa"/>
            <w:tcBorders/>
            <w:shd w:fill="CCEEFF" w:val="clear"/>
            <w:vAlign w:val="center"/>
          </w:tcPr>
          <w:p>
            <w:pPr>
              <w:pStyle w:val="TableContents"/>
              <w:bidi w:val="0"/>
              <w:spacing w:lineRule="auto" w:line="259" w:before="0" w:after="283"/>
              <w:jc w:val="left"/>
              <w:rPr/>
            </w:pPr>
            <w:hyperlink w:anchor="Exhibits">
              <w:r>
                <w:rPr>
                  <w:rStyle w:val="InternetLink"/>
                  <w:rFonts w:ascii="Times New Roman;serif" w:hAnsi="Times New Roman;serif"/>
                  <w:b w:val="false"/>
                  <w:i w:val="false"/>
                  <w:caps w:val="false"/>
                  <w:smallCaps w:val="false"/>
                  <w:strike w:val="false"/>
                  <w:dstrike w:val="false"/>
                  <w:color w:val="0000FF"/>
                  <w:sz w:val="20"/>
                  <w:u w:val="single"/>
                  <w:effect w:val="none"/>
                </w:rPr>
                <w:t>Item 6.</w:t>
              </w:r>
            </w:hyperlink>
          </w:p>
        </w:tc>
        <w:tc>
          <w:tcPr>
            <w:tcW w:w="8184" w:type="dxa"/>
            <w:tcBorders/>
            <w:shd w:fill="CCEEFF" w:val="clear"/>
            <w:vAlign w:val="center"/>
          </w:tcPr>
          <w:p>
            <w:pPr>
              <w:pStyle w:val="TableContents"/>
              <w:bidi w:val="0"/>
              <w:spacing w:lineRule="auto" w:line="259" w:before="0" w:after="283"/>
              <w:jc w:val="left"/>
              <w:rPr/>
            </w:pPr>
            <w:hyperlink w:anchor="Exhibits">
              <w:r>
                <w:rPr>
                  <w:rStyle w:val="InternetLink"/>
                  <w:rFonts w:ascii="Times New Roman;serif" w:hAnsi="Times New Roman;serif"/>
                  <w:b w:val="false"/>
                  <w:i w:val="false"/>
                  <w:caps w:val="false"/>
                  <w:smallCaps w:val="false"/>
                  <w:strike w:val="false"/>
                  <w:dstrike w:val="false"/>
                  <w:color w:val="0000FF"/>
                  <w:sz w:val="20"/>
                  <w:u w:val="single"/>
                  <w:effect w:val="none"/>
                </w:rPr>
                <w:t>Exhibits</w:t>
              </w:r>
            </w:hyperlink>
          </w:p>
        </w:tc>
        <w:tc>
          <w:tcPr>
            <w:tcW w:w="54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tc>
      </w:tr>
    </w:tbl>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w:t>
      </w:r>
      <w:bookmarkStart w:id="3" w:name="Part1_FinancialInformation"/>
      <w:bookmarkEnd w:id="3"/>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FINANCIAL INFORMATION</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Item 1.    Financial Statements</w:t>
      </w:r>
      <w:bookmarkStart w:id="4" w:name="Item1_FinancialStatements"/>
      <w:bookmarkEnd w:id="4"/>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CONDENSED CONSOLIDATED BALANCE SHEETS</w:t>
      </w:r>
      <w:bookmarkStart w:id="5" w:name="BS"/>
      <w:bookmarkEnd w:id="5"/>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(Unaudited)</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47"/>
        <w:gridCol w:w="259"/>
        <w:gridCol w:w="1282"/>
        <w:gridCol w:w="109"/>
        <w:gridCol w:w="213"/>
        <w:gridCol w:w="1095"/>
      </w:tblGrid>
      <w:tr>
        <w:trPr/>
        <w:tc>
          <w:tcPr>
            <w:tcW w:w="724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7247" w:type="dxa"/>
            <w:tcBorders/>
            <w:vAlign w:val="center"/>
          </w:tcPr>
          <w:p>
            <w:pPr>
              <w:pStyle w:val="TableContents"/>
              <w:bidi w:val="0"/>
              <w:spacing w:before="0" w:after="283"/>
              <w:jc w:val="left"/>
              <w:rPr>
                <w:sz w:val="4"/>
                <w:szCs w:val="4"/>
              </w:rPr>
            </w:pPr>
            <w:r>
              <w:rPr>
                <w:sz w:val="4"/>
                <w:szCs w:val="4"/>
              </w:rPr>
            </w:r>
          </w:p>
        </w:tc>
        <w:tc>
          <w:tcPr>
            <w:tcW w:w="154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June 30, 2025</w:t>
            </w:r>
          </w:p>
        </w:tc>
      </w:tr>
      <w:tr>
        <w:trPr/>
        <w:tc>
          <w:tcPr>
            <w:tcW w:w="72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ASSETS</w:t>
            </w:r>
          </w:p>
        </w:tc>
        <w:tc>
          <w:tcPr>
            <w:tcW w:w="25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8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assets:</w:t>
            </w:r>
          </w:p>
        </w:tc>
        <w:tc>
          <w:tcPr>
            <w:tcW w:w="25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724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w:t>
            </w:r>
          </w:p>
        </w:tc>
        <w:tc>
          <w:tcPr>
            <w:tcW w:w="25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2,515,913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2,807,797</w:t>
            </w:r>
          </w:p>
        </w:tc>
      </w:tr>
      <w:tr>
        <w:trPr/>
        <w:tc>
          <w:tcPr>
            <w:tcW w:w="72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Short term investments</w:t>
            </w:r>
          </w:p>
        </w:tc>
        <w:tc>
          <w:tcPr>
            <w:tcW w:w="25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13,942,994</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12,879,882</w:t>
            </w:r>
          </w:p>
        </w:tc>
      </w:tr>
      <w:tr>
        <w:trPr/>
        <w:tc>
          <w:tcPr>
            <w:tcW w:w="7247"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Accounts receivable, less allowance for credit losses of $2,043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at September 30, 2025 and June 30, 2025, respectively</w:t>
            </w:r>
          </w:p>
        </w:tc>
        <w:tc>
          <w:tcPr>
            <w:tcW w:w="259" w:type="dxa"/>
            <w:tcBorders/>
            <w:shd w:fill="CCEEFF" w:val="clear"/>
            <w:vAlign w:val="center"/>
          </w:tcPr>
          <w:p>
            <w:pPr>
              <w:pStyle w:val="TableContents"/>
              <w:bidi w:val="0"/>
              <w:spacing w:before="0" w:after="283"/>
              <w:jc w:val="left"/>
              <w:rPr>
                <w:sz w:val="4"/>
                <w:szCs w:val="4"/>
              </w:rPr>
            </w:pPr>
            <w:r>
              <w:rPr>
                <w:sz w:val="4"/>
                <w:szCs w:val="4"/>
              </w:rPr>
            </w:r>
          </w:p>
        </w:tc>
        <w:tc>
          <w:tcPr>
            <w:tcW w:w="12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963,457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10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1,135,672</w:t>
            </w:r>
          </w:p>
        </w:tc>
      </w:tr>
      <w:tr>
        <w:trPr/>
        <w:tc>
          <w:tcPr>
            <w:tcW w:w="72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w:t>
            </w:r>
          </w:p>
        </w:tc>
        <w:tc>
          <w:tcPr>
            <w:tcW w:w="25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4,647,319</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4,885,067</w:t>
            </w:r>
          </w:p>
        </w:tc>
      </w:tr>
      <w:tr>
        <w:trPr/>
        <w:tc>
          <w:tcPr>
            <w:tcW w:w="724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expenses and other current assets</w:t>
            </w:r>
          </w:p>
        </w:tc>
        <w:tc>
          <w:tcPr>
            <w:tcW w:w="259" w:type="dxa"/>
            <w:tcBorders/>
            <w:shd w:fill="CCEEFF" w:val="clear"/>
            <w:vAlign w:val="center"/>
          </w:tcPr>
          <w:p>
            <w:pPr>
              <w:pStyle w:val="TableContents"/>
              <w:bidi w:val="0"/>
              <w:spacing w:before="0" w:after="283"/>
              <w:jc w:val="left"/>
              <w:rPr>
                <w:sz w:val="4"/>
                <w:szCs w:val="4"/>
              </w:rPr>
            </w:pPr>
            <w:r>
              <w:rPr>
                <w:sz w:val="4"/>
                <w:szCs w:val="4"/>
              </w:rPr>
            </w:r>
          </w:p>
        </w:tc>
        <w:tc>
          <w:tcPr>
            <w:tcW w:w="12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465,322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10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738,330</w:t>
            </w:r>
          </w:p>
        </w:tc>
      </w:tr>
      <w:tr>
        <w:trPr/>
        <w:tc>
          <w:tcPr>
            <w:tcW w:w="72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receivable</w:t>
            </w:r>
          </w:p>
        </w:tc>
        <w:tc>
          <w:tcPr>
            <w:tcW w:w="25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104,364</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121,178</w:t>
            </w:r>
          </w:p>
        </w:tc>
      </w:tr>
      <w:tr>
        <w:trPr/>
        <w:tc>
          <w:tcPr>
            <w:tcW w:w="724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taxes receivable</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8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30,297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36,179</w:t>
            </w:r>
          </w:p>
        </w:tc>
      </w:tr>
      <w:tr>
        <w:trPr/>
        <w:tc>
          <w:tcPr>
            <w:tcW w:w="72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current assets</w:t>
            </w:r>
          </w:p>
        </w:tc>
        <w:tc>
          <w:tcPr>
            <w:tcW w:w="25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28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22,669,666</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22,604,105</w:t>
            </w:r>
          </w:p>
        </w:tc>
      </w:tr>
      <w:tr>
        <w:trPr/>
        <w:tc>
          <w:tcPr>
            <w:tcW w:w="7247"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8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4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Equipment and leasehold improvements, net</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8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1,680,042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1,476,898</w:t>
            </w:r>
          </w:p>
        </w:tc>
      </w:tr>
      <w:tr>
        <w:trPr/>
        <w:tc>
          <w:tcPr>
            <w:tcW w:w="7247"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8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assets:</w:t>
            </w:r>
          </w:p>
        </w:tc>
        <w:tc>
          <w:tcPr>
            <w:tcW w:w="25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724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Long term investments</w:t>
            </w:r>
          </w:p>
        </w:tc>
        <w:tc>
          <w:tcPr>
            <w:tcW w:w="259" w:type="dxa"/>
            <w:tcBorders/>
            <w:shd w:fill="CCEEFF" w:val="clear"/>
            <w:vAlign w:val="center"/>
          </w:tcPr>
          <w:p>
            <w:pPr>
              <w:pStyle w:val="TableContents"/>
              <w:bidi w:val="0"/>
              <w:spacing w:before="0" w:after="283"/>
              <w:jc w:val="left"/>
              <w:rPr>
                <w:sz w:val="4"/>
                <w:szCs w:val="4"/>
              </w:rPr>
            </w:pPr>
            <w:r>
              <w:rPr>
                <w:sz w:val="4"/>
                <w:szCs w:val="4"/>
              </w:rPr>
            </w:r>
          </w:p>
        </w:tc>
        <w:tc>
          <w:tcPr>
            <w:tcW w:w="12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4,000,985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10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4,000,774</w:t>
            </w:r>
          </w:p>
        </w:tc>
      </w:tr>
      <w:tr>
        <w:trPr/>
        <w:tc>
          <w:tcPr>
            <w:tcW w:w="72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Finance lease right-of-use asset</w:t>
            </w:r>
          </w:p>
        </w:tc>
        <w:tc>
          <w:tcPr>
            <w:tcW w:w="25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29,073</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724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right-of-use asset</w:t>
            </w:r>
          </w:p>
        </w:tc>
        <w:tc>
          <w:tcPr>
            <w:tcW w:w="259" w:type="dxa"/>
            <w:tcBorders/>
            <w:shd w:fill="CCEEFF" w:val="clear"/>
            <w:vAlign w:val="center"/>
          </w:tcPr>
          <w:p>
            <w:pPr>
              <w:pStyle w:val="TableContents"/>
              <w:bidi w:val="0"/>
              <w:spacing w:before="0" w:after="283"/>
              <w:jc w:val="left"/>
              <w:rPr>
                <w:sz w:val="4"/>
                <w:szCs w:val="4"/>
              </w:rPr>
            </w:pPr>
            <w:r>
              <w:rPr>
                <w:sz w:val="4"/>
                <w:szCs w:val="4"/>
              </w:rPr>
            </w:r>
          </w:p>
        </w:tc>
        <w:tc>
          <w:tcPr>
            <w:tcW w:w="12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2,454,260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10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2,518,088</w:t>
            </w:r>
          </w:p>
        </w:tc>
      </w:tr>
      <w:tr>
        <w:trPr/>
        <w:tc>
          <w:tcPr>
            <w:tcW w:w="72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surrender value of life insurance</w:t>
            </w:r>
          </w:p>
        </w:tc>
        <w:tc>
          <w:tcPr>
            <w:tcW w:w="25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8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6,829,369</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6,584,744</w:t>
            </w:r>
          </w:p>
        </w:tc>
      </w:tr>
      <w:tr>
        <w:trPr/>
        <w:tc>
          <w:tcPr>
            <w:tcW w:w="724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other assets</w:t>
            </w:r>
          </w:p>
        </w:tc>
        <w:tc>
          <w:tcPr>
            <w:tcW w:w="25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8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13,313,687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13,103,606</w:t>
            </w:r>
          </w:p>
        </w:tc>
      </w:tr>
      <w:tr>
        <w:trPr/>
        <w:tc>
          <w:tcPr>
            <w:tcW w:w="7247"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8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4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assets</w:t>
            </w:r>
          </w:p>
        </w:tc>
        <w:tc>
          <w:tcPr>
            <w:tcW w:w="259"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82"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37,663,395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5"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37,184,609</w:t>
            </w:r>
          </w:p>
        </w:tc>
      </w:tr>
      <w:tr>
        <w:trPr/>
        <w:tc>
          <w:tcPr>
            <w:tcW w:w="7247" w:type="dxa"/>
            <w:tcBorders/>
            <w:vAlign w:val="center"/>
          </w:tcPr>
          <w:p>
            <w:pPr>
              <w:pStyle w:val="TableContents"/>
              <w:bidi w:val="0"/>
              <w:spacing w:before="0" w:after="283"/>
              <w:jc w:val="left"/>
              <w:rPr>
                <w:sz w:val="4"/>
                <w:szCs w:val="4"/>
              </w:rPr>
            </w:pPr>
            <w:r>
              <w:rPr>
                <w:sz w:val="4"/>
                <w:szCs w:val="4"/>
              </w:rPr>
            </w:r>
          </w:p>
        </w:tc>
        <w:tc>
          <w:tcPr>
            <w:tcW w:w="25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8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LIABILITIES AND STOCKHOLDERS' EQUITY</w:t>
            </w:r>
          </w:p>
        </w:tc>
        <w:tc>
          <w:tcPr>
            <w:tcW w:w="25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72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liabilities:</w:t>
            </w:r>
          </w:p>
        </w:tc>
        <w:tc>
          <w:tcPr>
            <w:tcW w:w="25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724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Accounts payable</w:t>
            </w:r>
          </w:p>
        </w:tc>
        <w:tc>
          <w:tcPr>
            <w:tcW w:w="25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978,468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819,330</w:t>
            </w:r>
          </w:p>
        </w:tc>
      </w:tr>
      <w:tr>
        <w:trPr/>
        <w:tc>
          <w:tcPr>
            <w:tcW w:w="72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Accrued liabilities</w:t>
            </w:r>
          </w:p>
        </w:tc>
        <w:tc>
          <w:tcPr>
            <w:tcW w:w="25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516,381</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582,140</w:t>
            </w:r>
          </w:p>
        </w:tc>
      </w:tr>
      <w:tr>
        <w:trPr/>
        <w:tc>
          <w:tcPr>
            <w:tcW w:w="724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revenue</w:t>
            </w:r>
          </w:p>
        </w:tc>
        <w:tc>
          <w:tcPr>
            <w:tcW w:w="259" w:type="dxa"/>
            <w:tcBorders/>
            <w:shd w:fill="CCEEFF" w:val="clear"/>
            <w:vAlign w:val="center"/>
          </w:tcPr>
          <w:p>
            <w:pPr>
              <w:pStyle w:val="TableContents"/>
              <w:bidi w:val="0"/>
              <w:spacing w:before="0" w:after="283"/>
              <w:jc w:val="left"/>
              <w:rPr>
                <w:sz w:val="4"/>
                <w:szCs w:val="4"/>
              </w:rPr>
            </w:pPr>
            <w:r>
              <w:rPr>
                <w:sz w:val="4"/>
                <w:szCs w:val="4"/>
              </w:rPr>
            </w:r>
          </w:p>
        </w:tc>
        <w:tc>
          <w:tcPr>
            <w:tcW w:w="12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247,884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10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242,644</w:t>
            </w:r>
          </w:p>
        </w:tc>
      </w:tr>
      <w:tr>
        <w:trPr/>
        <w:tc>
          <w:tcPr>
            <w:tcW w:w="72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Finance lease liability</w:t>
            </w:r>
          </w:p>
        </w:tc>
        <w:tc>
          <w:tcPr>
            <w:tcW w:w="25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9,957</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724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liability</w:t>
            </w:r>
          </w:p>
        </w:tc>
        <w:tc>
          <w:tcPr>
            <w:tcW w:w="259" w:type="dxa"/>
            <w:tcBorders/>
            <w:shd w:fill="CCEEFF" w:val="clear"/>
            <w:vAlign w:val="center"/>
          </w:tcPr>
          <w:p>
            <w:pPr>
              <w:pStyle w:val="TableContents"/>
              <w:bidi w:val="0"/>
              <w:spacing w:before="0" w:after="283"/>
              <w:jc w:val="left"/>
              <w:rPr>
                <w:sz w:val="4"/>
                <w:szCs w:val="4"/>
              </w:rPr>
            </w:pPr>
            <w:r>
              <w:rPr>
                <w:sz w:val="4"/>
                <w:szCs w:val="4"/>
              </w:rPr>
            </w:r>
          </w:p>
        </w:tc>
        <w:tc>
          <w:tcPr>
            <w:tcW w:w="12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255,909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10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252,579</w:t>
            </w:r>
          </w:p>
        </w:tc>
      </w:tr>
      <w:tr>
        <w:trPr/>
        <w:tc>
          <w:tcPr>
            <w:tcW w:w="72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taxes payable</w:t>
            </w:r>
          </w:p>
        </w:tc>
        <w:tc>
          <w:tcPr>
            <w:tcW w:w="25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8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33,088</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42,958</w:t>
            </w:r>
          </w:p>
        </w:tc>
      </w:tr>
      <w:tr>
        <w:trPr/>
        <w:tc>
          <w:tcPr>
            <w:tcW w:w="724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current liabilities</w:t>
            </w:r>
          </w:p>
        </w:tc>
        <w:tc>
          <w:tcPr>
            <w:tcW w:w="25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8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2,041,687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1,939,651</w:t>
            </w:r>
          </w:p>
        </w:tc>
      </w:tr>
      <w:tr>
        <w:trPr/>
        <w:tc>
          <w:tcPr>
            <w:tcW w:w="7247"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8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Long-term liabilities:</w:t>
            </w:r>
          </w:p>
        </w:tc>
        <w:tc>
          <w:tcPr>
            <w:tcW w:w="25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724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compensation</w:t>
            </w:r>
          </w:p>
        </w:tc>
        <w:tc>
          <w:tcPr>
            <w:tcW w:w="259" w:type="dxa"/>
            <w:tcBorders/>
            <w:shd w:fill="CCEEFF" w:val="clear"/>
            <w:vAlign w:val="center"/>
          </w:tcPr>
          <w:p>
            <w:pPr>
              <w:pStyle w:val="TableContents"/>
              <w:bidi w:val="0"/>
              <w:spacing w:before="0" w:after="283"/>
              <w:jc w:val="left"/>
              <w:rPr>
                <w:sz w:val="4"/>
                <w:szCs w:val="4"/>
              </w:rPr>
            </w:pPr>
            <w:r>
              <w:rPr>
                <w:sz w:val="4"/>
                <w:szCs w:val="4"/>
              </w:rPr>
            </w:r>
          </w:p>
        </w:tc>
        <w:tc>
          <w:tcPr>
            <w:tcW w:w="12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2,387,338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10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2,226,454</w:t>
            </w:r>
          </w:p>
        </w:tc>
      </w:tr>
      <w:tr>
        <w:trPr/>
        <w:tc>
          <w:tcPr>
            <w:tcW w:w="72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revenue</w:t>
            </w:r>
          </w:p>
        </w:tc>
        <w:tc>
          <w:tcPr>
            <w:tcW w:w="25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135,829</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119,314</w:t>
            </w:r>
          </w:p>
        </w:tc>
      </w:tr>
      <w:tr>
        <w:trPr/>
        <w:tc>
          <w:tcPr>
            <w:tcW w:w="724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Finance lease liability</w:t>
            </w:r>
          </w:p>
        </w:tc>
        <w:tc>
          <w:tcPr>
            <w:tcW w:w="259" w:type="dxa"/>
            <w:tcBorders/>
            <w:shd w:fill="CCEEFF" w:val="clear"/>
            <w:vAlign w:val="center"/>
          </w:tcPr>
          <w:p>
            <w:pPr>
              <w:pStyle w:val="TableContents"/>
              <w:bidi w:val="0"/>
              <w:spacing w:before="0" w:after="283"/>
              <w:jc w:val="left"/>
              <w:rPr>
                <w:sz w:val="4"/>
                <w:szCs w:val="4"/>
              </w:rPr>
            </w:pPr>
            <w:r>
              <w:rPr>
                <w:sz w:val="4"/>
                <w:szCs w:val="4"/>
              </w:rPr>
            </w:r>
          </w:p>
        </w:tc>
        <w:tc>
          <w:tcPr>
            <w:tcW w:w="12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19,387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1095"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72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liability</w:t>
            </w:r>
          </w:p>
        </w:tc>
        <w:tc>
          <w:tcPr>
            <w:tcW w:w="25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8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2,223,916</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2,289,155</w:t>
            </w:r>
          </w:p>
        </w:tc>
      </w:tr>
      <w:tr>
        <w:trPr/>
        <w:tc>
          <w:tcPr>
            <w:tcW w:w="724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long-term liabilities</w:t>
            </w:r>
          </w:p>
        </w:tc>
        <w:tc>
          <w:tcPr>
            <w:tcW w:w="25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8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4,766,470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4,634,923</w:t>
            </w:r>
          </w:p>
        </w:tc>
      </w:tr>
      <w:tr>
        <w:trPr/>
        <w:tc>
          <w:tcPr>
            <w:tcW w:w="7247"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8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4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liabilities</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8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6,808,157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6,574,574</w:t>
            </w:r>
          </w:p>
        </w:tc>
      </w:tr>
      <w:tr>
        <w:trPr/>
        <w:tc>
          <w:tcPr>
            <w:tcW w:w="7247"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8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Stockholders' equity:</w:t>
            </w:r>
          </w:p>
        </w:tc>
        <w:tc>
          <w:tcPr>
            <w:tcW w:w="25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7247"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Common stock, $0.005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par value, authorized 20,000,000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issued and outstanding 9,456,438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at September 30, 2025 and June 30, 2025, respectively </w:t>
            </w:r>
          </w:p>
        </w:tc>
        <w:tc>
          <w:tcPr>
            <w:tcW w:w="259" w:type="dxa"/>
            <w:tcBorders/>
            <w:shd w:fill="CCEEFF" w:val="clear"/>
            <w:vAlign w:val="center"/>
          </w:tcPr>
          <w:p>
            <w:pPr>
              <w:pStyle w:val="TableContents"/>
              <w:bidi w:val="0"/>
              <w:spacing w:before="0" w:after="283"/>
              <w:jc w:val="left"/>
              <w:rPr>
                <w:sz w:val="4"/>
                <w:szCs w:val="4"/>
              </w:rPr>
            </w:pPr>
            <w:r>
              <w:rPr>
                <w:sz w:val="4"/>
                <w:szCs w:val="4"/>
              </w:rPr>
            </w:r>
          </w:p>
        </w:tc>
        <w:tc>
          <w:tcPr>
            <w:tcW w:w="12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47,282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10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47,282</w:t>
            </w:r>
          </w:p>
        </w:tc>
      </w:tr>
      <w:tr>
        <w:trPr/>
        <w:tc>
          <w:tcPr>
            <w:tcW w:w="72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Paid in capital</w:t>
            </w:r>
          </w:p>
        </w:tc>
        <w:tc>
          <w:tcPr>
            <w:tcW w:w="25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13,742,858</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13,741,384</w:t>
            </w:r>
          </w:p>
        </w:tc>
      </w:tr>
      <w:tr>
        <w:trPr/>
        <w:tc>
          <w:tcPr>
            <w:tcW w:w="724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Retained earnings</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8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17,065,098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16,821,369</w:t>
            </w:r>
          </w:p>
        </w:tc>
      </w:tr>
      <w:tr>
        <w:trPr/>
        <w:tc>
          <w:tcPr>
            <w:tcW w:w="72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stockholders' equity</w:t>
            </w:r>
          </w:p>
        </w:tc>
        <w:tc>
          <w:tcPr>
            <w:tcW w:w="25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28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30,855,238</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30,610,035</w:t>
            </w:r>
          </w:p>
        </w:tc>
      </w:tr>
      <w:tr>
        <w:trPr/>
        <w:tc>
          <w:tcPr>
            <w:tcW w:w="7247"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8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4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liabilities and stockholders' equity</w:t>
            </w:r>
          </w:p>
        </w:tc>
        <w:tc>
          <w:tcPr>
            <w:tcW w:w="259"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82"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37,663,395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5"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37,184,609</w:t>
            </w:r>
          </w:p>
        </w:tc>
      </w:tr>
    </w:tbl>
    <w:p>
      <w:pPr>
        <w:pStyle w:val="TextBody"/>
        <w:bidi w:val="0"/>
        <w:spacing w:lineRule="auto" w:line="259"/>
        <w:rPr>
          <w:caps w:val="false"/>
          <w:smallCaps w:val="false"/>
        </w:rPr>
      </w:pPr>
      <w:r>
        <w:rPr>
          <w:caps w:val="false"/>
          <w:smallCaps w:val="false"/>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condensed consolidated financial statements. </w:t>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CONDENSED CONSOLIDATED STATEMENTS OF OPERATIONS (Unaudited)</w:t>
      </w:r>
      <w:bookmarkStart w:id="6" w:name="IS"/>
      <w:bookmarkEnd w:id="6"/>
    </w:p>
    <w:p>
      <w:pPr>
        <w:pStyle w:val="TextBody"/>
        <w:bidi w:val="0"/>
        <w:spacing w:lineRule="auto" w:line="259"/>
        <w:rPr>
          <w:caps w:val="false"/>
          <w:smallCaps w:val="false"/>
        </w:rPr>
      </w:pPr>
      <w:r>
        <w:rPr>
          <w:caps w:val="false"/>
          <w:smallCaps w:val="false"/>
        </w:rPr>
        <w:t> </w:t>
      </w:r>
    </w:p>
    <w:tbl>
      <w:tblPr>
        <w:tblW w:w="6174" w:type="dxa"/>
        <w:jc w:val="left"/>
        <w:tblInd w:w="0" w:type="dxa"/>
        <w:tblLayout w:type="fixed"/>
        <w:tblCellMar>
          <w:top w:w="0" w:type="dxa"/>
          <w:left w:w="0" w:type="dxa"/>
          <w:bottom w:w="0" w:type="dxa"/>
          <w:right w:w="0" w:type="dxa"/>
        </w:tblCellMar>
      </w:tblPr>
      <w:tblGrid>
        <w:gridCol w:w="3736"/>
        <w:gridCol w:w="211"/>
        <w:gridCol w:w="931"/>
        <w:gridCol w:w="109"/>
        <w:gridCol w:w="211"/>
        <w:gridCol w:w="976"/>
      </w:tblGrid>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283"/>
              <w:jc w:val="left"/>
              <w:rPr>
                <w:sz w:val="4"/>
                <w:szCs w:val="4"/>
              </w:rPr>
            </w:pPr>
            <w:r>
              <w:rPr>
                <w:sz w:val="4"/>
                <w:szCs w:val="4"/>
              </w:rPr>
            </w:r>
          </w:p>
        </w:tc>
        <w:tc>
          <w:tcPr>
            <w:tcW w:w="243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Three Months Ended</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43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September 30</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4,070,778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3,201,868</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Cost of goods sold</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2,442,086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2,028,942</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w:t>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1,628,692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1,172,926</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1,674,732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1,810,059</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from operations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(46,040)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(637,133)</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income (expense):</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income</w:t>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293,128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220,358</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expense</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other income, net</w:t>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292,529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220,358</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(loss) before income tax provision</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246,489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(416,775)</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provision</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2,760</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(loss)</w:t>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243,729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(419,535)</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7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(loss) per common share:</w:t>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w:t>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(0.05)</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(0.05)</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7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Weighted-average number of shares:</w:t>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9,456,438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9,310,002</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3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9,537,817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7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9,310,002</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condensed consolidated financial statements. </w:t>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CONDENSED CONSOLIDATED STATEMENTS OF CASH FLOWS (Unaudited)</w:t>
      </w:r>
      <w:bookmarkStart w:id="7" w:name="CF"/>
      <w:bookmarkEnd w:id="7"/>
    </w:p>
    <w:p>
      <w:pPr>
        <w:pStyle w:val="TextBody"/>
        <w:bidi w:val="0"/>
        <w:spacing w:lineRule="auto" w:line="259"/>
        <w:rPr>
          <w:caps w:val="false"/>
          <w:smallCaps w:val="false"/>
        </w:rPr>
      </w:pPr>
      <w:r>
        <w:rPr>
          <w:caps w:val="false"/>
          <w:smallCaps w:val="false"/>
        </w:rPr>
        <w:t> </w:t>
      </w:r>
    </w:p>
    <w:tbl>
      <w:tblPr>
        <w:tblW w:w="9879" w:type="dxa"/>
        <w:jc w:val="left"/>
        <w:tblInd w:w="0" w:type="dxa"/>
        <w:tblLayout w:type="fixed"/>
        <w:tblCellMar>
          <w:top w:w="0" w:type="dxa"/>
          <w:left w:w="0" w:type="dxa"/>
          <w:bottom w:w="0" w:type="dxa"/>
          <w:right w:w="0" w:type="dxa"/>
        </w:tblCellMar>
      </w:tblPr>
      <w:tblGrid>
        <w:gridCol w:w="7201"/>
        <w:gridCol w:w="211"/>
        <w:gridCol w:w="1051"/>
        <w:gridCol w:w="109"/>
        <w:gridCol w:w="211"/>
        <w:gridCol w:w="1096"/>
      </w:tblGrid>
      <w:tr>
        <w:trPr/>
        <w:tc>
          <w:tcPr>
            <w:tcW w:w="7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before="0" w:after="283"/>
              <w:jc w:val="left"/>
              <w:rPr>
                <w:sz w:val="4"/>
                <w:szCs w:val="4"/>
              </w:rPr>
            </w:pPr>
            <w:r>
              <w:rPr>
                <w:sz w:val="4"/>
                <w:szCs w:val="4"/>
              </w:rPr>
            </w:r>
          </w:p>
        </w:tc>
        <w:tc>
          <w:tcPr>
            <w:tcW w:w="267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Three Months Ended</w:t>
            </w:r>
          </w:p>
        </w:tc>
      </w:tr>
      <w:tr>
        <w:trPr/>
        <w:tc>
          <w:tcPr>
            <w:tcW w:w="7201" w:type="dxa"/>
            <w:tcBorders/>
            <w:vAlign w:val="center"/>
          </w:tcPr>
          <w:p>
            <w:pPr>
              <w:pStyle w:val="TableContents"/>
              <w:bidi w:val="0"/>
              <w:spacing w:before="0" w:after="283"/>
              <w:jc w:val="left"/>
              <w:rPr>
                <w:sz w:val="4"/>
                <w:szCs w:val="4"/>
              </w:rPr>
            </w:pPr>
            <w:r>
              <w:rPr>
                <w:sz w:val="4"/>
                <w:szCs w:val="4"/>
              </w:rPr>
            </w:r>
          </w:p>
        </w:tc>
        <w:tc>
          <w:tcPr>
            <w:tcW w:w="267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September 30</w:t>
            </w:r>
          </w:p>
        </w:tc>
      </w:tr>
      <w:tr>
        <w:trPr/>
        <w:tc>
          <w:tcPr>
            <w:tcW w:w="7201" w:type="dxa"/>
            <w:tcBorders/>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activities:</w:t>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(loss)</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243,729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(419,535)</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Adjustments to reconcile net income (loss) to net cash provided by operating activities:</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Depreciation of equipment and leasehold improvements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67,427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53,133</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amortization of discount on treasury securities</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(63,594)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(75,821)</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Amortization of finance lease right-of-use asset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Noncash operating lease expense</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1,918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1,917</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Stock-based compensation expense</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14,264</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Change in cash surrender value of life insurance</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(193,324)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(165,291)</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Provision for deferred compensation</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160,884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197,374</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changes in operating assets and liabilities:</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Accounts receivable</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172,215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(180,291)</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237,748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(261,430)</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expenses and other current assets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273,008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(80,096)</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receivable</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16,814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55,814</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taxes receivable</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(2,529)</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taxes payable</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(9,870)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(7,674)</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Accounts payable</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(110,333)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401,865</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Accrued liabilities</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(65,759)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650,248</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revenue</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21,755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19,606</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operating activities</w:t>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762,617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201,554</w:t>
            </w:r>
          </w:p>
        </w:tc>
      </w:tr>
      <w:tr>
        <w:trPr/>
        <w:tc>
          <w:tcPr>
            <w:tcW w:w="720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Investing activities:</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Purchase of equipment and leasehold improvements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(357,193)</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Life insurance premiums paid</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(51,301)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(70,577)</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Proceeds from the maturity of treasury securities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5,034,000</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Purchases of treasury securities</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(999,729)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(4,999,003)</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used in investing activities</w:t>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(1,052,130)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(392,773)</w:t>
            </w:r>
          </w:p>
        </w:tc>
      </w:tr>
      <w:tr>
        <w:trPr/>
        <w:tc>
          <w:tcPr>
            <w:tcW w:w="720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Financing activities:</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Proceeds from exercise of stock options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104,870</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Principal payments on finance lease obligations</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(used in) provided by financing activities</w:t>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104,870</w:t>
            </w:r>
          </w:p>
        </w:tc>
      </w:tr>
      <w:tr>
        <w:trPr/>
        <w:tc>
          <w:tcPr>
            <w:tcW w:w="720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decrease in cash and cash equivalents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(291,884)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(86,349)</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 at beginning of period</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2,807,797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2,837,081</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 at end of period</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2,515,913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2,750,732</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tbl>
      <w:tblPr>
        <w:tblW w:w="9984" w:type="dxa"/>
        <w:jc w:val="left"/>
        <w:tblInd w:w="0" w:type="dxa"/>
        <w:tblLayout w:type="fixed"/>
        <w:tblCellMar>
          <w:top w:w="0" w:type="dxa"/>
          <w:left w:w="0" w:type="dxa"/>
          <w:bottom w:w="0" w:type="dxa"/>
          <w:right w:w="0" w:type="dxa"/>
        </w:tblCellMar>
      </w:tblPr>
      <w:tblGrid>
        <w:gridCol w:w="7951"/>
        <w:gridCol w:w="211"/>
        <w:gridCol w:w="781"/>
        <w:gridCol w:w="109"/>
        <w:gridCol w:w="211"/>
        <w:gridCol w:w="721"/>
      </w:tblGrid>
      <w:tr>
        <w:trPr/>
        <w:tc>
          <w:tcPr>
            <w:tcW w:w="79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w:t>
            </w:r>
          </w:p>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CONDENSED CONSOLIDATED STATEMENTS OF CASH FLOWS – CONTINUED (Unaudited)</w:t>
            </w:r>
          </w:p>
        </w:tc>
        <w:tc>
          <w:tcPr>
            <w:tcW w:w="203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Three Months Ended</w:t>
            </w:r>
          </w:p>
        </w:tc>
      </w:tr>
      <w:tr>
        <w:trPr/>
        <w:tc>
          <w:tcPr>
            <w:tcW w:w="7951" w:type="dxa"/>
            <w:tcBorders/>
            <w:vAlign w:val="center"/>
          </w:tcPr>
          <w:p>
            <w:pPr>
              <w:pStyle w:val="TableContents"/>
              <w:bidi w:val="0"/>
              <w:spacing w:before="0" w:after="283"/>
              <w:jc w:val="left"/>
              <w:rPr>
                <w:sz w:val="4"/>
                <w:szCs w:val="4"/>
              </w:rPr>
            </w:pPr>
            <w:r>
              <w:rPr>
                <w:sz w:val="4"/>
                <w:szCs w:val="4"/>
              </w:rPr>
            </w:r>
          </w:p>
        </w:tc>
        <w:tc>
          <w:tcPr>
            <w:tcW w:w="203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September 30</w:t>
            </w:r>
          </w:p>
        </w:tc>
      </w:tr>
      <w:tr>
        <w:trPr/>
        <w:tc>
          <w:tcPr>
            <w:tcW w:w="7951" w:type="dxa"/>
            <w:tcBorders/>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7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Supplemental cash flow information:</w:t>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9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Right of use assets obtained in exchange for finance lease liabilities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31,716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7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paid for interest on finance lease liability</w:t>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79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Acquisition of fixed asset through assumption of a liability</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269,471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7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paid, net of refunds, for income taxes:</w:t>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79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of New York</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1,550</w:t>
            </w:r>
          </w:p>
        </w:tc>
      </w:tr>
      <w:tr>
        <w:trPr/>
        <w:tc>
          <w:tcPr>
            <w:tcW w:w="7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of Texas</w:t>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6,500</w:t>
            </w:r>
          </w:p>
        </w:tc>
      </w:tr>
      <w:tr>
        <w:trPr/>
        <w:tc>
          <w:tcPr>
            <w:tcW w:w="79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of Massachusetts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591</w:t>
            </w:r>
          </w:p>
        </w:tc>
      </w:tr>
      <w:tr>
        <w:trPr/>
        <w:tc>
          <w:tcPr>
            <w:tcW w:w="7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of New Jersey</w:t>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1,518</w:t>
            </w:r>
          </w:p>
        </w:tc>
      </w:tr>
      <w:tr>
        <w:trPr/>
        <w:tc>
          <w:tcPr>
            <w:tcW w:w="79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of California</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1,600</w:t>
            </w:r>
          </w:p>
        </w:tc>
      </w:tr>
      <w:tr>
        <w:trPr/>
        <w:tc>
          <w:tcPr>
            <w:tcW w:w="7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of North Carolina</w:t>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1,054</w:t>
            </w:r>
          </w:p>
        </w:tc>
      </w:tr>
      <w:tr>
        <w:trPr/>
        <w:tc>
          <w:tcPr>
            <w:tcW w:w="79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150</w:t>
            </w:r>
          </w:p>
        </w:tc>
      </w:tr>
      <w:tr>
        <w:trPr/>
        <w:tc>
          <w:tcPr>
            <w:tcW w:w="7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cash paid, net of refunds for income taxes</w:t>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6,827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12,963</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condensed consolidated financial statements.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CONDENSED CONSOLIDATED STATEMENTS OF STOCKHOLDERS’ EQUITY (Unaudited)</w:t>
      </w:r>
      <w:bookmarkStart w:id="8" w:name="SE"/>
      <w:bookmarkEnd w:id="8"/>
    </w:p>
    <w:p>
      <w:pPr>
        <w:pStyle w:val="TextBody"/>
        <w:bidi w:val="0"/>
        <w:spacing w:lineRule="auto" w:line="259"/>
        <w:rPr>
          <w:caps w:val="false"/>
          <w:smallCaps w:val="false"/>
        </w:rPr>
      </w:pPr>
      <w:r>
        <w:rPr>
          <w:caps w:val="false"/>
          <w:smallCaps w:val="false"/>
        </w:rPr>
        <w:t> </w:t>
      </w:r>
    </w:p>
    <w:tbl>
      <w:tblPr>
        <w:tblW w:w="9041" w:type="dxa"/>
        <w:jc w:val="left"/>
        <w:tblInd w:w="0" w:type="dxa"/>
        <w:tblLayout w:type="fixed"/>
        <w:tblCellMar>
          <w:top w:w="0" w:type="dxa"/>
          <w:left w:w="0" w:type="dxa"/>
          <w:bottom w:w="0" w:type="dxa"/>
          <w:right w:w="0" w:type="dxa"/>
        </w:tblCellMar>
      </w:tblPr>
      <w:tblGrid>
        <w:gridCol w:w="3001"/>
        <w:gridCol w:w="931"/>
        <w:gridCol w:w="109"/>
        <w:gridCol w:w="211"/>
        <w:gridCol w:w="676"/>
        <w:gridCol w:w="109"/>
        <w:gridCol w:w="211"/>
        <w:gridCol w:w="1036"/>
        <w:gridCol w:w="109"/>
        <w:gridCol w:w="211"/>
        <w:gridCol w:w="1036"/>
        <w:gridCol w:w="109"/>
        <w:gridCol w:w="211"/>
        <w:gridCol w:w="1081"/>
      </w:tblGrid>
      <w:tr>
        <w:trPr/>
        <w:tc>
          <w:tcPr>
            <w:tcW w:w="300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6040" w:type="dxa"/>
            <w:gridSpan w:val="13"/>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Three Months Ended September 30, 2025</w:t>
            </w:r>
          </w:p>
        </w:tc>
      </w:tr>
      <w:tr>
        <w:trPr/>
        <w:tc>
          <w:tcPr>
            <w:tcW w:w="3001" w:type="dxa"/>
            <w:tcBorders/>
            <w:vAlign w:val="center"/>
          </w:tcPr>
          <w:p>
            <w:pPr>
              <w:pStyle w:val="TableContents"/>
              <w:bidi w:val="0"/>
              <w:spacing w:before="0" w:after="283"/>
              <w:jc w:val="left"/>
              <w:rPr>
                <w:sz w:val="4"/>
                <w:szCs w:val="4"/>
              </w:rPr>
            </w:pPr>
            <w:r>
              <w:rPr>
                <w:sz w:val="4"/>
                <w:szCs w:val="4"/>
              </w:rPr>
            </w:r>
          </w:p>
        </w:tc>
        <w:tc>
          <w:tcPr>
            <w:tcW w:w="1927" w:type="dxa"/>
            <w:gridSpan w:val="4"/>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Common Stock</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Paid in</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Retained</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Shares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Capital</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Earnings</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r>
      <w:tr>
        <w:trPr/>
        <w:tc>
          <w:tcPr>
            <w:tcW w:w="3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June 30, 2025</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9,456,438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47,282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13,741,384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16,821,369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30,610,035</w:t>
            </w:r>
          </w:p>
        </w:tc>
      </w:tr>
      <w:tr>
        <w:trPr/>
        <w:tc>
          <w:tcPr>
            <w:tcW w:w="3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w:t>
            </w:r>
          </w:p>
        </w:tc>
        <w:tc>
          <w:tcPr>
            <w:tcW w:w="93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243,729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243,729</w:t>
            </w:r>
          </w:p>
        </w:tc>
      </w:tr>
      <w:tr>
        <w:trPr/>
        <w:tc>
          <w:tcPr>
            <w:tcW w:w="3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Stock-based compensation expense</w:t>
            </w:r>
          </w:p>
        </w:tc>
        <w:tc>
          <w:tcPr>
            <w:tcW w:w="93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1,474</w:t>
            </w:r>
          </w:p>
        </w:tc>
      </w:tr>
      <w:tr>
        <w:trPr/>
        <w:tc>
          <w:tcPr>
            <w:tcW w:w="3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September 30, 2025</w:t>
            </w:r>
          </w:p>
        </w:tc>
        <w:tc>
          <w:tcPr>
            <w:tcW w:w="9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9,456,438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47,282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13,742,858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17,065,098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30,855,238</w:t>
            </w:r>
          </w:p>
        </w:tc>
      </w:tr>
    </w:tbl>
    <w:tbl>
      <w:tblPr>
        <w:tblW w:w="9041" w:type="dxa"/>
        <w:jc w:val="left"/>
        <w:tblInd w:w="0" w:type="dxa"/>
        <w:tblLayout w:type="fixed"/>
        <w:tblCellMar>
          <w:top w:w="0" w:type="dxa"/>
          <w:left w:w="0" w:type="dxa"/>
          <w:bottom w:w="0" w:type="dxa"/>
          <w:right w:w="0" w:type="dxa"/>
        </w:tblCellMar>
      </w:tblPr>
      <w:tblGrid>
        <w:gridCol w:w="3001"/>
        <w:gridCol w:w="931"/>
        <w:gridCol w:w="109"/>
        <w:gridCol w:w="211"/>
        <w:gridCol w:w="676"/>
        <w:gridCol w:w="109"/>
        <w:gridCol w:w="211"/>
        <w:gridCol w:w="1036"/>
        <w:gridCol w:w="109"/>
        <w:gridCol w:w="211"/>
        <w:gridCol w:w="1036"/>
        <w:gridCol w:w="109"/>
        <w:gridCol w:w="211"/>
        <w:gridCol w:w="1081"/>
      </w:tblGrid>
      <w:tr>
        <w:trPr/>
        <w:tc>
          <w:tcPr>
            <w:tcW w:w="300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6040" w:type="dxa"/>
            <w:gridSpan w:val="13"/>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Three Months Ended September 30, 2024</w:t>
            </w:r>
          </w:p>
        </w:tc>
      </w:tr>
      <w:tr>
        <w:trPr/>
        <w:tc>
          <w:tcPr>
            <w:tcW w:w="3001" w:type="dxa"/>
            <w:tcBorders/>
            <w:vAlign w:val="center"/>
          </w:tcPr>
          <w:p>
            <w:pPr>
              <w:pStyle w:val="TableContents"/>
              <w:bidi w:val="0"/>
              <w:spacing w:before="0" w:after="283"/>
              <w:jc w:val="left"/>
              <w:rPr>
                <w:sz w:val="4"/>
                <w:szCs w:val="4"/>
              </w:rPr>
            </w:pPr>
            <w:r>
              <w:rPr>
                <w:sz w:val="4"/>
                <w:szCs w:val="4"/>
              </w:rPr>
            </w:r>
          </w:p>
        </w:tc>
        <w:tc>
          <w:tcPr>
            <w:tcW w:w="1927" w:type="dxa"/>
            <w:gridSpan w:val="4"/>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Common Stock</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Paid in</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Retained</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Shares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Capital</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Earnings</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r>
      <w:tr>
        <w:trPr/>
        <w:tc>
          <w:tcPr>
            <w:tcW w:w="3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June 30, 2024</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9,299,795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46,499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13,404,477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17,696,200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31,147,176</w:t>
            </w:r>
          </w:p>
        </w:tc>
      </w:tr>
      <w:tr>
        <w:trPr/>
        <w:tc>
          <w:tcPr>
            <w:tcW w:w="3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w:t>
            </w:r>
          </w:p>
        </w:tc>
        <w:tc>
          <w:tcPr>
            <w:tcW w:w="93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(419,535)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(419,535)</w:t>
            </w:r>
          </w:p>
        </w:tc>
      </w:tr>
      <w:tr>
        <w:trPr/>
        <w:tc>
          <w:tcPr>
            <w:tcW w:w="3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Stock-based compensation expense</w:t>
            </w:r>
          </w:p>
        </w:tc>
        <w:tc>
          <w:tcPr>
            <w:tcW w:w="93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14,264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14,264</w:t>
            </w:r>
          </w:p>
        </w:tc>
      </w:tr>
      <w:tr>
        <w:trPr/>
        <w:tc>
          <w:tcPr>
            <w:tcW w:w="3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 option exercises</w:t>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104,615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104,870</w:t>
            </w:r>
          </w:p>
        </w:tc>
      </w:tr>
      <w:tr>
        <w:trPr/>
        <w:tc>
          <w:tcPr>
            <w:tcW w:w="3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September 30, 2024</w:t>
            </w:r>
          </w:p>
        </w:tc>
        <w:tc>
          <w:tcPr>
            <w:tcW w:w="9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9,350,795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46,754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13,523,356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17,276,665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30,846,775</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condensed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bookmarkStart w:id="9" w:name="Notes_FinancialStatements"/>
      <w:bookmarkEnd w:id="9"/>
      <w:r>
        <w:rPr>
          <w:rFonts w:ascii="Times New Roman;serif" w:hAnsi="Times New Roman;serif"/>
          <w:b w:val="false"/>
          <w:i w:val="false"/>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CONDENSED CONSOLIDATED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September 30, 2025</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    SUMMARY OF SIGNIFICANT ACCOUNTING POLICIES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BASIS OF PRESENTATION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condensed consolidated balance sheets as of September 30, 2025 and June 30, 2025, the condensed consolidated statements of operations for the three months ended September 30, 2025 and 2024, the condensed consolidated statements of cash flows for the three months ended September 30, 2025 and 2024, and the condensed consolidated statements of stockholders' equity for the three months ended September 30, 2025 and 2024, have been prepared by the Company in accordance with generally accepted accounting principles in the United States of America (“U.S. GAAP”) and have not been audited.  In the opinion of management, all adjustments (consisting of normal recurring adjustments) necessary to present fairly the financial position, results of operations and cash flows for all periods presented have been made. The operating results for any interim period are not necessarily indicative of the operating results that may be experienced for the full fiscal year.</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Certain information and footnote disclosures normally included in consolidated financial statements prepared in accordance with U.S. GAAP have been condensed or omitted. These condensed consolidated financial statements should be read in conjunction with the consolidated financial statements and notes thereto included in the Company’s Annual Report on Form 10-K for the fiscal year ended June 30, 2025.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preparation of financial statements in conformity with U.S. GAAP requires the Company to make estimates and assumptions that affect the reported amounts of assets and liabilities and disclosure of contingent liabilities at the date of the condensed consolidated financial statements and the reported amounts of revenues and expenses. Significant estimates and assumptions are used for, but are not limited to, allowances for credit losses, reserves for excess and obsolete inventories, long-lived and right-of-use assets, income tax </w:t>
      </w:r>
      <w:r>
        <w:rPr>
          <w:rFonts w:ascii="Times New Roman;serif" w:hAnsi="Times New Roman;serif"/>
          <w:b w:val="false"/>
          <w:i w:val="false"/>
          <w:caps w:val="false"/>
          <w:smallCaps w:val="false"/>
          <w:color w:val="000000"/>
          <w:sz w:val="20"/>
        </w:rPr>
        <w:t>valuation allowance</w:t>
      </w:r>
      <w:r>
        <w:rPr>
          <w:rFonts w:ascii="Times New Roman;serif" w:hAnsi="Times New Roman;serif"/>
          <w:b w:val="false"/>
          <w:i w:val="false"/>
          <w:caps w:val="false"/>
          <w:smallCaps w:val="false"/>
          <w:color w:val="0782C1"/>
          <w:sz w:val="20"/>
        </w:rPr>
        <w:t>,</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stock-based compensation and deferred compensation. Actual results could differ from the Company's estimates.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    INVESTMENTS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Debt securities are classified as held-to-maturity as the Company has the positive intent and ability to hold them to maturity. The securities are carried at amortized cost as current or noncurrent based upon maturity date and unrealized gains and losses are recognized when realized. The amortized cost of debt securities is adjusted for amortization of premium and accretion of discounts to maturity. Such amortization or accretion is included in interest income, along with other interest income earned on cash and cash equivalents. Accrued interest receivable on held-to-maturity debt securities is shown separately on the condensed consolidated balance sheets and is not included in any estimate for credit losses.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allowance for credit losses on held-to-maturity U.S. Treasury securities is recorded as these securities have the following characteristics that support a zero-loss expectation: they are explicitly guaranteed by the U.S. government, are consistently highly rated by major rating agencies and have a long history of no credit losses. See Note 2 for additional information on investments.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    FAIR VALUE MEASUREMENTS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equivalents, accounts receivable, and accounts payable approximate fair value based on the short maturity of these instruments. The Company’s U.S. treasury debt securities are recorded at amortized cost with fair value disclosure. They have a readily available market price (Level 1 input), thus a lesser degree of judgment needs to be used in measuring fair value, and fair value was determined by quoted market prices. The fair value is based upon quoted market prices and is disclosed in Note 2.</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    INCOME TAXES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We estimate a provision for income taxes based on the effective tax rate expected to be applicable for the fiscal year. If the actual results are different from these estimates, adjustments to the effective tax rate may be required in the period such determination is made. Additionally, discrete items are treated separately from the effective rate analysis and are recorded separately as an income tax provision or benefit at the time they are recognized.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An income tax provision of $2,760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was recorded during the three months ended September 30, 2025 and 2024 for minimum state required tax payments only and there were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federal income tax provisions recorded due to net operating loss carryforwards (“NOLs”) available to offset taxable income. Application of available NOLs to potential future taxable income would minimize any tax payment requirements. </w:t>
      </w:r>
      <w:r>
        <w:rPr>
          <w:rFonts w:ascii="Times New Roman;serif" w:hAnsi="Times New Roman;serif"/>
          <w:b w:val="false"/>
          <w:i w:val="false"/>
          <w:caps w:val="false"/>
          <w:smallCaps w:val="false"/>
          <w:sz w:val="20"/>
          <w:shd w:fill="FFFFFF" w:val="clear"/>
        </w:rPr>
        <w:t xml:space="preserve">NOLs arising in tax years beginning after December 31, 2017 are limited to 80 percent of taxable income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shd w:fill="FFFFFF" w:val="clear"/>
        </w:rPr>
        <w:t xml:space="preserve">per the Tax Cuts and Jobs Act (“TCJA”). As such, the future utilization of all federal NOLs available to the Company is </w:t>
      </w:r>
      <w:r>
        <w:rPr>
          <w:rFonts w:ascii="Times New Roman;serif" w:hAnsi="Times New Roman;serif"/>
          <w:b w:val="false"/>
          <w:i w:val="false"/>
          <w:caps w:val="false"/>
          <w:smallCaps w:val="false"/>
          <w:sz w:val="20"/>
        </w:rPr>
        <w:t xml:space="preserve">limited to 80 percent of the resulting taxable income.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tax loss carryforward as of September 30, 2025 was approximately $34,500,000. Given the cumulative taxable losses for the last three years, excluding one-time items, the expectation for utilization of the estimated tax loss carryforward is not likely, and as such, the future realization of this continues to be uncertain. The valuation allowance was adjusted to continue to fully offset the net deferred tax asset as there is sufficient negative evidence to support a full valuation allowance.</w:t>
      </w:r>
    </w:p>
    <w:p>
      <w:pPr>
        <w:pStyle w:val="TextBody"/>
        <w:bidi w:val="0"/>
        <w:spacing w:lineRule="auto" w:line="259"/>
        <w:rPr>
          <w:rFonts w:ascii="Times New Roman;serif" w:hAnsi="Times New Roman;serif"/>
          <w:b w:val="false"/>
          <w:i w:val="false"/>
          <w:caps w:val="false"/>
          <w:smallCaps w:val="false"/>
          <w:sz w:val="20"/>
        </w:rPr>
      </w:pPr>
      <w:bookmarkStart w:id="10" w:name="_Hlk94599261"/>
      <w:bookmarkEnd w:id="10"/>
      <w:r>
        <w:rPr>
          <w:rFonts w:ascii="Times New Roman;serif" w:hAnsi="Times New Roman;serif"/>
          <w:b w:val="false"/>
          <w:i w:val="false"/>
          <w:caps w:val="false"/>
          <w:smallCaps w:val="false"/>
          <w:sz w:val="20"/>
        </w:rPr>
        <w:t>E) DEFERRED COMPENSATION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Company’s deferred compensation liability is for a current officer and is calculated based on years of service and compensation, along with various assumptions related to expected retirement date, discount rates, and mortality tables. The related expense is calculated using the net present value of the expected payments and is included in selling, general and administrative expenses in the condensed consolidated statements of operations. The deferred compensation liability recorded at September 30, 2025 and June 30, 2025 is $2,387,338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$2,226,454, respectively. Compensation expense of $160,884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was recorded during the three months ended September 30, 2025 as a result of the increase in the deferred compensation liability for the current officer, due mainly to the annual increase in the future payments earned under the arrangement due to completing an additional year of service, as well as a slight decrease in the discount factor. The discount factor used to calculate the net present value of the liability was 5.81% at June 30, 2025 and declined to 5.53% at September 30, 2025. For the three months ended September 30, 2024, compensation expense of $197,374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was recorded under this arrangement.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 RECENT ACCOUNTING PRONOUNCEMENTS</w:t>
      </w:r>
    </w:p>
    <w:p>
      <w:pPr>
        <w:pStyle w:val="TextBody"/>
        <w:bidi w:val="0"/>
        <w:spacing w:lineRule="auto" w:line="259"/>
        <w:rPr>
          <w:rFonts w:ascii="Times New Roman;serif" w:hAnsi="Times New Roman;serif"/>
          <w:b w:val="false"/>
          <w:i/>
          <w:sz w:val="20"/>
          <w:u w:val="single"/>
        </w:rPr>
      </w:pPr>
      <w:r>
        <w:rPr>
          <w:rFonts w:ascii="Times New Roman;serif" w:hAnsi="Times New Roman;serif"/>
          <w:b w:val="false"/>
          <w:i/>
          <w:sz w:val="20"/>
          <w:u w:val="single"/>
        </w:rPr>
        <w:t>Recently Adopted Accounting Pronouncements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December 2023, FASB issued ASU 2023-09, Income Taxes (Topic 740): Improvements to Income Tax Disclosures. The ASU focuses on income tax disclosures around effective tax rates and cash income taxes paid and requires consistent categories and greater disaggregation of information in the rate reconciliation, income taxes paid disaggregated by jurisdiction and certain other amendments. The new guidance was adopted prospectively as of July 1, 2025 and ASU 2023-09 does not mandate retrospective disclosure. Given the ASU relates solely to disclosure requirements, adoption does not have a material impact on the Company’s financial position, results of operations or cash flows. See Note 4 for further information.</w:t>
      </w:r>
    </w:p>
    <w:p>
      <w:pPr>
        <w:pStyle w:val="TextBody"/>
        <w:bidi w:val="0"/>
        <w:spacing w:lineRule="auto" w:line="259"/>
        <w:rPr>
          <w:rFonts w:ascii="Times New Roman;serif" w:hAnsi="Times New Roman;serif"/>
          <w:b w:val="false"/>
          <w:i/>
          <w:sz w:val="20"/>
          <w:u w:val="single"/>
        </w:rPr>
      </w:pPr>
      <w:r>
        <w:rPr>
          <w:rFonts w:ascii="Times New Roman;serif" w:hAnsi="Times New Roman;serif"/>
          <w:b w:val="false"/>
          <w:i/>
          <w:sz w:val="20"/>
          <w:u w:val="single"/>
        </w:rPr>
        <w:t>Recently Issued Accounting Pronouncements Not Yet Adopted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March 2024, FASB issued ASU 2024-03, Income Statement – Reporting Comprehensive Income - Expense Disaggregation Disclosures (Subtopic 220 40): Disaggregation of Certain Income Statement Expenses, which was subsequently amended by ASU 2025-01 in January 2025 to clarify and refine certain requirements. The ASU requires public business entities to disclose in the notes to the financial statements the amounts of employee compensation, depreciation, amortization, and inventory costs included in each relevant income statement line item. The guidance also requires disclosure of other expense categories if they are significant to an understanding of the entity’s financial performance. The amendments are effective for annual periods beginning after December 15, 2026, and for interim periods within fiscal years beginning after December 15, 2027 and entities are required to apply the amendments retrospectively. Early adoption is permitted.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will evaluate the impact of the standards on its Consolidated Financial Statements and related disclosures. While the adoption of ASU 2024-03 and ASU 2025-01 will not affect the Company’s recognition, measurement or presentation of expenses on the face of the Consolidated Statements of Operations, it is expected to result in expanded disclosures in the notes to the Consolidated Financial Statements. The Company has not yet determined whether it will early adopt the guidance.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    INVESTMENTS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tables summarize the unrealized positions for the held-to-maturity debt securities as of September 30, 2025 and June 30, 2025:</w:t>
      </w:r>
    </w:p>
    <w:tbl>
      <w:tblPr>
        <w:tblW w:w="9495" w:type="dxa"/>
        <w:jc w:val="left"/>
        <w:tblInd w:w="0" w:type="dxa"/>
        <w:tblLayout w:type="fixed"/>
        <w:tblCellMar>
          <w:top w:w="0" w:type="dxa"/>
          <w:left w:w="0" w:type="dxa"/>
          <w:bottom w:w="0" w:type="dxa"/>
          <w:right w:w="0" w:type="dxa"/>
        </w:tblCellMar>
      </w:tblPr>
      <w:tblGrid>
        <w:gridCol w:w="1921"/>
        <w:gridCol w:w="312"/>
        <w:gridCol w:w="1533"/>
        <w:gridCol w:w="109"/>
        <w:gridCol w:w="484"/>
        <w:gridCol w:w="1556"/>
        <w:gridCol w:w="109"/>
        <w:gridCol w:w="784"/>
        <w:gridCol w:w="1286"/>
        <w:gridCol w:w="109"/>
        <w:gridCol w:w="211"/>
        <w:gridCol w:w="1081"/>
      </w:tblGrid>
      <w:tr>
        <w:trPr/>
        <w:tc>
          <w:tcPr>
            <w:tcW w:w="192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sz w:val="4"/>
                <w:szCs w:val="4"/>
              </w:rPr>
            </w:pPr>
            <w:r>
              <w:rPr>
                <w:sz w:val="4"/>
                <w:szCs w:val="4"/>
              </w:rPr>
            </w:r>
          </w:p>
        </w:tc>
        <w:tc>
          <w:tcPr>
            <w:tcW w:w="7574" w:type="dxa"/>
            <w:gridSpan w:val="11"/>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September 30, 2025</w:t>
            </w:r>
          </w:p>
        </w:tc>
      </w:tr>
      <w:tr>
        <w:trPr/>
        <w:tc>
          <w:tcPr>
            <w:tcW w:w="1921" w:type="dxa"/>
            <w:tcBorders/>
            <w:vAlign w:val="center"/>
          </w:tcPr>
          <w:p>
            <w:pPr>
              <w:pStyle w:val="TableContents"/>
              <w:bidi w:val="0"/>
              <w:spacing w:before="0" w:after="283"/>
              <w:jc w:val="left"/>
              <w:rPr>
                <w:sz w:val="4"/>
                <w:szCs w:val="4"/>
              </w:rPr>
            </w:pPr>
            <w:r>
              <w:rPr>
                <w:sz w:val="4"/>
                <w:szCs w:val="4"/>
              </w:rPr>
            </w:r>
          </w:p>
        </w:tc>
        <w:tc>
          <w:tcPr>
            <w:tcW w:w="184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Amortized cost basis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04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Gross unrealized gains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07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Gross unrealized losses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Fair Value</w:t>
            </w:r>
          </w:p>
        </w:tc>
      </w:tr>
      <w:tr>
        <w:trPr/>
        <w:tc>
          <w:tcPr>
            <w:tcW w:w="19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US Treasury securities</w:t>
            </w:r>
          </w:p>
        </w:tc>
        <w:tc>
          <w:tcPr>
            <w:tcW w:w="31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3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17,943,979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5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61,884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18,005,863</w:t>
            </w:r>
          </w:p>
        </w:tc>
      </w:tr>
      <w:tr>
        <w:trPr/>
        <w:tc>
          <w:tcPr>
            <w:tcW w:w="19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31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3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17,943,979</w:t>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5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61,884</w:t>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18,005,863</w:t>
            </w:r>
          </w:p>
        </w:tc>
      </w:tr>
    </w:tbl>
    <w:tbl>
      <w:tblPr>
        <w:tblW w:w="9495" w:type="dxa"/>
        <w:jc w:val="left"/>
        <w:tblInd w:w="0" w:type="dxa"/>
        <w:tblLayout w:type="fixed"/>
        <w:tblCellMar>
          <w:top w:w="0" w:type="dxa"/>
          <w:left w:w="0" w:type="dxa"/>
          <w:bottom w:w="0" w:type="dxa"/>
          <w:right w:w="0" w:type="dxa"/>
        </w:tblCellMar>
      </w:tblPr>
      <w:tblGrid>
        <w:gridCol w:w="1921"/>
        <w:gridCol w:w="312"/>
        <w:gridCol w:w="1533"/>
        <w:gridCol w:w="109"/>
        <w:gridCol w:w="484"/>
        <w:gridCol w:w="1556"/>
        <w:gridCol w:w="109"/>
        <w:gridCol w:w="689"/>
        <w:gridCol w:w="1381"/>
        <w:gridCol w:w="109"/>
        <w:gridCol w:w="211"/>
        <w:gridCol w:w="1081"/>
      </w:tblGrid>
      <w:tr>
        <w:trPr/>
        <w:tc>
          <w:tcPr>
            <w:tcW w:w="192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sz w:val="4"/>
                <w:szCs w:val="4"/>
              </w:rPr>
            </w:pPr>
            <w:r>
              <w:rPr>
                <w:sz w:val="4"/>
                <w:szCs w:val="4"/>
              </w:rPr>
            </w:r>
          </w:p>
        </w:tc>
        <w:tc>
          <w:tcPr>
            <w:tcW w:w="7574" w:type="dxa"/>
            <w:gridSpan w:val="11"/>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June 30, 2025</w:t>
            </w:r>
          </w:p>
        </w:tc>
      </w:tr>
      <w:tr>
        <w:trPr/>
        <w:tc>
          <w:tcPr>
            <w:tcW w:w="1921" w:type="dxa"/>
            <w:tcBorders/>
            <w:vAlign w:val="center"/>
          </w:tcPr>
          <w:p>
            <w:pPr>
              <w:pStyle w:val="TableContents"/>
              <w:bidi w:val="0"/>
              <w:spacing w:before="0" w:after="283"/>
              <w:jc w:val="left"/>
              <w:rPr>
                <w:sz w:val="4"/>
                <w:szCs w:val="4"/>
              </w:rPr>
            </w:pPr>
            <w:r>
              <w:rPr>
                <w:sz w:val="4"/>
                <w:szCs w:val="4"/>
              </w:rPr>
            </w:r>
          </w:p>
        </w:tc>
        <w:tc>
          <w:tcPr>
            <w:tcW w:w="184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Amortized cost basis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04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Gross unrealized gains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07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Gross unrealized losses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Fair Value</w:t>
            </w:r>
          </w:p>
        </w:tc>
      </w:tr>
      <w:tr>
        <w:trPr/>
        <w:tc>
          <w:tcPr>
            <w:tcW w:w="19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US Treasury securities</w:t>
            </w:r>
          </w:p>
        </w:tc>
        <w:tc>
          <w:tcPr>
            <w:tcW w:w="31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3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16,880,656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5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52,103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16,932,134</w:t>
            </w:r>
          </w:p>
        </w:tc>
      </w:tr>
      <w:tr>
        <w:trPr/>
        <w:tc>
          <w:tcPr>
            <w:tcW w:w="19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31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3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16,880,656</w:t>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5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52,103</w:t>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16,932,134</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tables summarize the fair value and amortized cost basis of the held-to-maturity debt securities by contractual maturity as of September 30, 2025 and June 30, 2025:</w:t>
      </w:r>
    </w:p>
    <w:tbl>
      <w:tblPr>
        <w:tblW w:w="6427" w:type="dxa"/>
        <w:jc w:val="left"/>
        <w:tblInd w:w="0" w:type="dxa"/>
        <w:tblLayout w:type="fixed"/>
        <w:tblCellMar>
          <w:top w:w="0" w:type="dxa"/>
          <w:left w:w="0" w:type="dxa"/>
          <w:bottom w:w="0" w:type="dxa"/>
          <w:right w:w="0" w:type="dxa"/>
        </w:tblCellMar>
      </w:tblPr>
      <w:tblGrid>
        <w:gridCol w:w="3106"/>
        <w:gridCol w:w="325"/>
        <w:gridCol w:w="1595"/>
        <w:gridCol w:w="109"/>
        <w:gridCol w:w="211"/>
        <w:gridCol w:w="1081"/>
      </w:tblGrid>
      <w:tr>
        <w:trPr/>
        <w:tc>
          <w:tcPr>
            <w:tcW w:w="310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106" w:type="dxa"/>
            <w:tcBorders/>
            <w:vAlign w:val="center"/>
          </w:tcPr>
          <w:p>
            <w:pPr>
              <w:pStyle w:val="TableContents"/>
              <w:bidi w:val="0"/>
              <w:spacing w:before="0" w:after="283"/>
              <w:jc w:val="left"/>
              <w:rPr>
                <w:sz w:val="4"/>
                <w:szCs w:val="4"/>
              </w:rPr>
            </w:pPr>
            <w:r>
              <w:rPr>
                <w:sz w:val="4"/>
                <w:szCs w:val="4"/>
              </w:rPr>
            </w:r>
          </w:p>
        </w:tc>
        <w:tc>
          <w:tcPr>
            <w:tcW w:w="3321"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September 30, 2025</w:t>
            </w:r>
          </w:p>
        </w:tc>
      </w:tr>
      <w:tr>
        <w:trPr/>
        <w:tc>
          <w:tcPr>
            <w:tcW w:w="3106" w:type="dxa"/>
            <w:tcBorders/>
            <w:vAlign w:val="center"/>
          </w:tcPr>
          <w:p>
            <w:pPr>
              <w:pStyle w:val="TableContents"/>
              <w:bidi w:val="0"/>
              <w:spacing w:before="0" w:after="283"/>
              <w:jc w:val="left"/>
              <w:rPr>
                <w:sz w:val="4"/>
                <w:szCs w:val="4"/>
              </w:rPr>
            </w:pPr>
            <w:r>
              <w:rPr>
                <w:sz w:val="4"/>
                <w:szCs w:val="4"/>
              </w:rPr>
            </w:r>
          </w:p>
        </w:tc>
        <w:tc>
          <w:tcPr>
            <w:tcW w:w="192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Amortized Cost Basis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Fair value</w:t>
            </w:r>
          </w:p>
        </w:tc>
      </w:tr>
      <w:tr>
        <w:trPr/>
        <w:tc>
          <w:tcPr>
            <w:tcW w:w="31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Due within one year</w:t>
            </w:r>
          </w:p>
        </w:tc>
        <w:tc>
          <w:tcPr>
            <w:tcW w:w="32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13,942,994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13,979,090</w:t>
            </w:r>
          </w:p>
        </w:tc>
      </w:tr>
      <w:tr>
        <w:trPr/>
        <w:tc>
          <w:tcPr>
            <w:tcW w:w="31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Due after one year through five years</w:t>
            </w:r>
          </w:p>
        </w:tc>
        <w:tc>
          <w:tcPr>
            <w:tcW w:w="32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4,000,985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4,026,773</w:t>
            </w:r>
          </w:p>
        </w:tc>
      </w:tr>
      <w:tr>
        <w:trPr/>
        <w:tc>
          <w:tcPr>
            <w:tcW w:w="31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3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9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17,943,979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18,005,863</w:t>
            </w:r>
          </w:p>
        </w:tc>
      </w:tr>
    </w:tbl>
    <w:tbl>
      <w:tblPr>
        <w:tblW w:w="6427" w:type="dxa"/>
        <w:jc w:val="left"/>
        <w:tblInd w:w="0" w:type="dxa"/>
        <w:tblLayout w:type="fixed"/>
        <w:tblCellMar>
          <w:top w:w="0" w:type="dxa"/>
          <w:left w:w="0" w:type="dxa"/>
          <w:bottom w:w="0" w:type="dxa"/>
          <w:right w:w="0" w:type="dxa"/>
        </w:tblCellMar>
      </w:tblPr>
      <w:tblGrid>
        <w:gridCol w:w="3106"/>
        <w:gridCol w:w="325"/>
        <w:gridCol w:w="1595"/>
        <w:gridCol w:w="109"/>
        <w:gridCol w:w="211"/>
        <w:gridCol w:w="1081"/>
      </w:tblGrid>
      <w:tr>
        <w:trPr/>
        <w:tc>
          <w:tcPr>
            <w:tcW w:w="310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106" w:type="dxa"/>
            <w:tcBorders/>
            <w:vAlign w:val="center"/>
          </w:tcPr>
          <w:p>
            <w:pPr>
              <w:pStyle w:val="TableContents"/>
              <w:bidi w:val="0"/>
              <w:spacing w:before="0" w:after="283"/>
              <w:jc w:val="left"/>
              <w:rPr>
                <w:sz w:val="4"/>
                <w:szCs w:val="4"/>
              </w:rPr>
            </w:pPr>
            <w:r>
              <w:rPr>
                <w:sz w:val="4"/>
                <w:szCs w:val="4"/>
              </w:rPr>
            </w:r>
          </w:p>
        </w:tc>
        <w:tc>
          <w:tcPr>
            <w:tcW w:w="3321"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June 30, 2025</w:t>
            </w:r>
          </w:p>
        </w:tc>
      </w:tr>
      <w:tr>
        <w:trPr/>
        <w:tc>
          <w:tcPr>
            <w:tcW w:w="3106" w:type="dxa"/>
            <w:tcBorders/>
            <w:vAlign w:val="center"/>
          </w:tcPr>
          <w:p>
            <w:pPr>
              <w:pStyle w:val="TableContents"/>
              <w:bidi w:val="0"/>
              <w:spacing w:before="0" w:after="283"/>
              <w:jc w:val="left"/>
              <w:rPr>
                <w:sz w:val="4"/>
                <w:szCs w:val="4"/>
              </w:rPr>
            </w:pPr>
            <w:r>
              <w:rPr>
                <w:sz w:val="4"/>
                <w:szCs w:val="4"/>
              </w:rPr>
            </w:r>
          </w:p>
        </w:tc>
        <w:tc>
          <w:tcPr>
            <w:tcW w:w="192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Amortized Cost Basis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Fair value</w:t>
            </w:r>
          </w:p>
        </w:tc>
      </w:tr>
      <w:tr>
        <w:trPr/>
        <w:tc>
          <w:tcPr>
            <w:tcW w:w="31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Due within one year</w:t>
            </w:r>
          </w:p>
        </w:tc>
        <w:tc>
          <w:tcPr>
            <w:tcW w:w="32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12,879,882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12,909,183</w:t>
            </w:r>
          </w:p>
        </w:tc>
      </w:tr>
      <w:tr>
        <w:trPr/>
        <w:tc>
          <w:tcPr>
            <w:tcW w:w="31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Due after one year through five years</w:t>
            </w:r>
          </w:p>
        </w:tc>
        <w:tc>
          <w:tcPr>
            <w:tcW w:w="32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4,000,774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4,022,951</w:t>
            </w:r>
          </w:p>
        </w:tc>
      </w:tr>
      <w:tr>
        <w:trPr/>
        <w:tc>
          <w:tcPr>
            <w:tcW w:w="31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3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9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16,880,656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16,932,134</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    INVENTORIES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inventories were as follows:</w:t>
      </w:r>
    </w:p>
    <w:p>
      <w:pPr>
        <w:pStyle w:val="TextBody"/>
        <w:bidi w:val="0"/>
        <w:spacing w:lineRule="auto" w:line="259"/>
        <w:rPr>
          <w:caps w:val="false"/>
          <w:smallCaps w:val="false"/>
        </w:rPr>
      </w:pPr>
      <w:r>
        <w:rPr>
          <w:caps w:val="false"/>
          <w:smallCaps w:val="false"/>
        </w:rPr>
        <w:t> </w:t>
      </w:r>
    </w:p>
    <w:tbl>
      <w:tblPr>
        <w:tblW w:w="5810" w:type="dxa"/>
        <w:jc w:val="left"/>
        <w:tblInd w:w="0" w:type="dxa"/>
        <w:tblLayout w:type="fixed"/>
        <w:tblCellMar>
          <w:top w:w="0" w:type="dxa"/>
          <w:left w:w="0" w:type="dxa"/>
          <w:bottom w:w="0" w:type="dxa"/>
          <w:right w:w="0" w:type="dxa"/>
        </w:tblCellMar>
      </w:tblPr>
      <w:tblGrid>
        <w:gridCol w:w="2611"/>
        <w:gridCol w:w="310"/>
        <w:gridCol w:w="1460"/>
        <w:gridCol w:w="109"/>
        <w:gridCol w:w="213"/>
        <w:gridCol w:w="1107"/>
      </w:tblGrid>
      <w:tr>
        <w:trPr/>
        <w:tc>
          <w:tcPr>
            <w:tcW w:w="26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26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2611" w:type="dxa"/>
            <w:tcBorders/>
            <w:vAlign w:val="center"/>
          </w:tcPr>
          <w:p>
            <w:pPr>
              <w:pStyle w:val="TableContents"/>
              <w:bidi w:val="0"/>
              <w:spacing w:before="0" w:after="283"/>
              <w:jc w:val="left"/>
              <w:rPr>
                <w:sz w:val="4"/>
                <w:szCs w:val="4"/>
              </w:rPr>
            </w:pPr>
            <w:r>
              <w:rPr>
                <w:sz w:val="4"/>
                <w:szCs w:val="4"/>
              </w:rPr>
            </w:r>
          </w:p>
        </w:tc>
        <w:tc>
          <w:tcPr>
            <w:tcW w:w="17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June 30, 2025</w:t>
            </w:r>
          </w:p>
        </w:tc>
      </w:tr>
      <w:tr>
        <w:trPr/>
        <w:tc>
          <w:tcPr>
            <w:tcW w:w="2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Raw materials</w:t>
            </w:r>
          </w:p>
        </w:tc>
        <w:tc>
          <w:tcPr>
            <w:tcW w:w="310"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6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1,910,151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1,966,662</w:t>
            </w:r>
          </w:p>
        </w:tc>
      </w:tr>
      <w:tr>
        <w:trPr/>
        <w:tc>
          <w:tcPr>
            <w:tcW w:w="26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Finished goods</w:t>
            </w:r>
          </w:p>
        </w:tc>
        <w:tc>
          <w:tcPr>
            <w:tcW w:w="31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6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4,668,658</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4,815,881</w:t>
            </w:r>
          </w:p>
        </w:tc>
      </w:tr>
      <w:tr>
        <w:trPr/>
        <w:tc>
          <w:tcPr>
            <w:tcW w:w="2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 gross</w:t>
            </w:r>
          </w:p>
        </w:tc>
        <w:tc>
          <w:tcPr>
            <w:tcW w:w="31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46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6,578,809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0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6,782,543</w:t>
            </w:r>
          </w:p>
        </w:tc>
      </w:tr>
      <w:tr>
        <w:trPr/>
        <w:tc>
          <w:tcPr>
            <w:tcW w:w="26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Reserve for obsolete inventory</w:t>
            </w:r>
          </w:p>
        </w:tc>
        <w:tc>
          <w:tcPr>
            <w:tcW w:w="31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6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(1,931,490)</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(1,897,476)</w:t>
            </w:r>
          </w:p>
        </w:tc>
      </w:tr>
      <w:tr>
        <w:trPr/>
        <w:tc>
          <w:tcPr>
            <w:tcW w:w="2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 net</w:t>
            </w:r>
          </w:p>
        </w:tc>
        <w:tc>
          <w:tcPr>
            <w:tcW w:w="31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6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4,647,319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4,885,067</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    INCOME TAXES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utilizes the liability method of accounting for income taxes. The liability method measures the expected income tax impact of future taxable income and deductions implicit in the condensed consolidated balance sheets. The Company’s income tax expense for the three months ended September 30, 2025 and 2024 consisted of the following:</w:t>
      </w:r>
    </w:p>
    <w:tbl>
      <w:tblPr>
        <w:tblW w:w="4854" w:type="dxa"/>
        <w:jc w:val="left"/>
        <w:tblInd w:w="0" w:type="dxa"/>
        <w:tblLayout w:type="fixed"/>
        <w:tblCellMar>
          <w:top w:w="0" w:type="dxa"/>
          <w:left w:w="0" w:type="dxa"/>
          <w:bottom w:w="0" w:type="dxa"/>
          <w:right w:w="0" w:type="dxa"/>
        </w:tblCellMar>
      </w:tblPr>
      <w:tblGrid>
        <w:gridCol w:w="3136"/>
        <w:gridCol w:w="211"/>
        <w:gridCol w:w="571"/>
        <w:gridCol w:w="109"/>
        <w:gridCol w:w="211"/>
        <w:gridCol w:w="616"/>
      </w:tblGrid>
      <w:tr>
        <w:trPr/>
        <w:tc>
          <w:tcPr>
            <w:tcW w:w="3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1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Three Months Ended September 30,</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31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Federal</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16"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3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w:t>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2,760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2,760</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3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income tax provision</w:t>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2,760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1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2,760</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All income is derived from domestic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three months ended September 30, 2025 and 2024, respectively, the effective tax rate was 1.1% and 0.7%, respectively. It is anticipated that the effective rate in future years will continue to be reduced by utilization of a portion or all of the available federal and state net operating loss (NOL) carryforwards that existed as of June 30, 2025.</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effective tax rate for the current quarter differs from the U.S. federal statutory rate of 21% primarily due to:</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State income taxes, net of federal benefit</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Officer life insurance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Non-deductible meals and entertainment expense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Research and development tax credits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Nondeductible stock options expense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Changes in valuation allowances on deferred tax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br/>
        <w:t>‎The Company will provide the enhanced annual disclosures required by ASU 2023-09, including the detailed rate reconciliation and jurisdictional income taxes paid, in its Form 10-K for the year ending June 30, 2026.</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 material changes in uncertain tax positions or valuation allowances were recorded during the three-month period ended September 30, 2025.</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    CREDIT FACILITY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May 14, 2019, the Company entered into a secured credit facility (“Credit Agreement”) with Town Bank (“Lender”). The Credit Agreement provides for a $5,000,000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revolving secured credit facility for letters of credit for the benefit of the Company of up to a sublimit of $1,000,000. There are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unused line fees in the credit facility. On January 28, 2021, the Credit Agreement was amended to change the interest rate to Wall Street Journal Prime less 1.50%. An amendment to the Credit Agreement effective October 30, 2024, extended the maturity date to October 31, 2026, and removed one of the covenants requiring submission of annual financial performance projections to the Lender. The Company and the Lender also entered into a General Business Security Agreement dated May 14, 2019 under which the Company granted the Lender a security interest in substantially all of the Company’s assets in connection with the Company’s obligations under the Credit Agreement. The Credit Agreement contains certain affirmative and negative covenants customary for financings of this type. The negative covenants include restrictions on other indebtedness, liens, fundamental changes, certain investments, disposition of assets, mergers and liquidations, among other restrictions. As of September 30, 2025, the Company was in compliance with all covenants related to the Credit Agreement. As of September 30, 2025 and June 30, 2025, there were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outstanding borrowings on the facility.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    REVENUE RECOGNITION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disaggregates its net sales by geographical location as it believes it best depicts how the nature, timing and uncertainty of net sales and cash flows are affected by economic factors. The following table summarizes net sales by geographical location:</w:t>
      </w:r>
    </w:p>
    <w:p>
      <w:pPr>
        <w:pStyle w:val="TextBody"/>
        <w:bidi w:val="0"/>
        <w:spacing w:lineRule="auto" w:line="259"/>
        <w:rPr>
          <w:caps w:val="false"/>
          <w:smallCaps w:val="false"/>
        </w:rPr>
      </w:pPr>
      <w:r>
        <w:rPr>
          <w:caps w:val="false"/>
          <w:smallCaps w:val="false"/>
        </w:rPr>
        <w:t> </w:t>
      </w:r>
    </w:p>
    <w:tbl>
      <w:tblPr>
        <w:tblW w:w="3639" w:type="dxa"/>
        <w:jc w:val="left"/>
        <w:tblInd w:w="0" w:type="dxa"/>
        <w:tblLayout w:type="fixed"/>
        <w:tblCellMar>
          <w:top w:w="0" w:type="dxa"/>
          <w:left w:w="0" w:type="dxa"/>
          <w:bottom w:w="0" w:type="dxa"/>
          <w:right w:w="0" w:type="dxa"/>
        </w:tblCellMar>
      </w:tblPr>
      <w:tblGrid>
        <w:gridCol w:w="1201"/>
        <w:gridCol w:w="211"/>
        <w:gridCol w:w="931"/>
        <w:gridCol w:w="109"/>
        <w:gridCol w:w="211"/>
        <w:gridCol w:w="976"/>
      </w:tblGrid>
      <w:tr>
        <w:trPr/>
        <w:tc>
          <w:tcPr>
            <w:tcW w:w="1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283"/>
              <w:jc w:val="left"/>
              <w:rPr>
                <w:sz w:val="4"/>
                <w:szCs w:val="4"/>
              </w:rPr>
            </w:pPr>
            <w:r>
              <w:rPr>
                <w:sz w:val="4"/>
                <w:szCs w:val="4"/>
              </w:rPr>
            </w:r>
          </w:p>
        </w:tc>
        <w:tc>
          <w:tcPr>
            <w:tcW w:w="243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Three Months Ended</w:t>
            </w:r>
          </w:p>
        </w:tc>
      </w:tr>
      <w:tr>
        <w:trPr/>
        <w:tc>
          <w:tcPr>
            <w:tcW w:w="1201" w:type="dxa"/>
            <w:tcBorders/>
            <w:vAlign w:val="center"/>
          </w:tcPr>
          <w:p>
            <w:pPr>
              <w:pStyle w:val="TableContents"/>
              <w:bidi w:val="0"/>
              <w:spacing w:before="0" w:after="283"/>
              <w:jc w:val="left"/>
              <w:rPr>
                <w:sz w:val="4"/>
                <w:szCs w:val="4"/>
              </w:rPr>
            </w:pPr>
            <w:r>
              <w:rPr>
                <w:sz w:val="4"/>
                <w:szCs w:val="4"/>
              </w:rPr>
            </w:r>
          </w:p>
        </w:tc>
        <w:tc>
          <w:tcPr>
            <w:tcW w:w="243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September 30,</w:t>
            </w:r>
          </w:p>
        </w:tc>
      </w:tr>
      <w:tr>
        <w:trPr/>
        <w:tc>
          <w:tcPr>
            <w:tcW w:w="1201" w:type="dxa"/>
            <w:tcBorders/>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1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United States</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3,321,738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2,167,364</w:t>
            </w:r>
          </w:p>
        </w:tc>
      </w:tr>
      <w:tr>
        <w:trPr/>
        <w:tc>
          <w:tcPr>
            <w:tcW w:w="1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Export</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749,040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1,034,504</w:t>
            </w:r>
          </w:p>
        </w:tc>
      </w:tr>
      <w:tr>
        <w:trPr/>
        <w:tc>
          <w:tcPr>
            <w:tcW w:w="1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4,070,778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3,201,868</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Deferred revenue relates primarily to consumer and customer warranties. These constitute future performance obligations, and the Company defers revenue related to these future performance obligations. Effective July 1, 2023, the Company increased its deferral rates from 2.4% to 3% for domestic sales and decreased its deferral rate from 10% to 8% for export sales to reflect recent warranty experience. In the three months ended September 30, 2025 and 2024, the Company recognized revenue, which was included in the deferred revenue liability at the beginning of those periods of $51,396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$77,103, respectively, for performance obligations related to consumer and customer warranties. The Company estimates that the deferred revenue performance obligations are satisfied within one 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three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therefore uses that same timeframe for recognition of the deferred revenue.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 INCOME (LOSS) PER COMMON AND COMMON STOCK EQUIVALENT SHARE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 income (loss) per common share is computed based on the weighted-average number of common shares outstanding. Diluted income (loss) per common share is calculated assuming the exercise of stock options except where the result would be anti-dilutive. The following table reconciles the numerator and denominator used to calculate basic and diluted income (loss) per share:</w:t>
      </w:r>
    </w:p>
    <w:tbl>
      <w:tblPr>
        <w:tblW w:w="8536" w:type="dxa"/>
        <w:jc w:val="left"/>
        <w:tblInd w:w="0" w:type="dxa"/>
        <w:tblLayout w:type="fixed"/>
        <w:tblCellMar>
          <w:top w:w="0" w:type="dxa"/>
          <w:left w:w="0" w:type="dxa"/>
          <w:bottom w:w="0" w:type="dxa"/>
          <w:right w:w="0" w:type="dxa"/>
        </w:tblCellMar>
      </w:tblPr>
      <w:tblGrid>
        <w:gridCol w:w="5371"/>
        <w:gridCol w:w="274"/>
        <w:gridCol w:w="1209"/>
        <w:gridCol w:w="141"/>
        <w:gridCol w:w="274"/>
        <w:gridCol w:w="1267"/>
      </w:tblGrid>
      <w:tr>
        <w:trPr/>
        <w:tc>
          <w:tcPr>
            <w:tcW w:w="53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53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5371" w:type="dxa"/>
            <w:tcBorders/>
            <w:vAlign w:val="center"/>
          </w:tcPr>
          <w:p>
            <w:pPr>
              <w:pStyle w:val="TableContents"/>
              <w:bidi w:val="0"/>
              <w:spacing w:before="0" w:after="283"/>
              <w:jc w:val="left"/>
              <w:rPr>
                <w:sz w:val="4"/>
                <w:szCs w:val="4"/>
              </w:rPr>
            </w:pPr>
            <w:r>
              <w:rPr>
                <w:sz w:val="4"/>
                <w:szCs w:val="4"/>
              </w:rPr>
            </w:r>
          </w:p>
        </w:tc>
        <w:tc>
          <w:tcPr>
            <w:tcW w:w="3165"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Three Months Ended September 30,</w:t>
            </w:r>
          </w:p>
        </w:tc>
      </w:tr>
      <w:tr>
        <w:trPr/>
        <w:tc>
          <w:tcPr>
            <w:tcW w:w="5371" w:type="dxa"/>
            <w:tcBorders/>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537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Numerator</w:t>
            </w:r>
          </w:p>
        </w:tc>
        <w:tc>
          <w:tcPr>
            <w:tcW w:w="27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6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3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(loss)</w:t>
            </w:r>
          </w:p>
        </w:tc>
        <w:tc>
          <w:tcPr>
            <w:tcW w:w="274"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0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243,729</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6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(419,535)</w:t>
            </w:r>
          </w:p>
        </w:tc>
      </w:tr>
      <w:tr>
        <w:trPr/>
        <w:tc>
          <w:tcPr>
            <w:tcW w:w="5371"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6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37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Denominator</w:t>
            </w:r>
          </w:p>
        </w:tc>
        <w:tc>
          <w:tcPr>
            <w:tcW w:w="27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 average shares, basic</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20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9,456,438</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26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9,310,002</w:t>
            </w:r>
          </w:p>
        </w:tc>
      </w:tr>
      <w:tr>
        <w:trPr/>
        <w:tc>
          <w:tcPr>
            <w:tcW w:w="53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Dilutive effect of stock compensation awards (1)</w:t>
            </w:r>
          </w:p>
        </w:tc>
        <w:tc>
          <w:tcPr>
            <w:tcW w:w="27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81,379</w:t>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67"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53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 shares</w:t>
            </w:r>
          </w:p>
        </w:tc>
        <w:tc>
          <w:tcPr>
            <w:tcW w:w="27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9,537,817</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6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9,310,002</w:t>
            </w:r>
          </w:p>
        </w:tc>
      </w:tr>
      <w:tr>
        <w:trPr/>
        <w:tc>
          <w:tcPr>
            <w:tcW w:w="5371" w:type="dxa"/>
            <w:tcBorders/>
            <w:vAlign w:val="center"/>
          </w:tcPr>
          <w:p>
            <w:pPr>
              <w:pStyle w:val="TableContents"/>
              <w:bidi w:val="0"/>
              <w:spacing w:before="0" w:after="283"/>
              <w:jc w:val="left"/>
              <w:rPr>
                <w:sz w:val="4"/>
                <w:szCs w:val="4"/>
              </w:rPr>
            </w:pPr>
            <w:r>
              <w:rPr>
                <w:sz w:val="4"/>
                <w:szCs w:val="4"/>
              </w:rPr>
            </w:r>
          </w:p>
        </w:tc>
        <w:tc>
          <w:tcPr>
            <w:tcW w:w="274"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6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3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(loss) attributable to common shareholders per share:</w:t>
            </w:r>
          </w:p>
        </w:tc>
        <w:tc>
          <w:tcPr>
            <w:tcW w:w="27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w:t>
            </w:r>
          </w:p>
        </w:tc>
        <w:tc>
          <w:tcPr>
            <w:tcW w:w="2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0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0.03</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6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(0.05)</w:t>
            </w:r>
          </w:p>
        </w:tc>
      </w:tr>
      <w:tr>
        <w:trPr/>
        <w:tc>
          <w:tcPr>
            <w:tcW w:w="53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w:t>
            </w:r>
          </w:p>
        </w:tc>
        <w:tc>
          <w:tcPr>
            <w:tcW w:w="2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0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0.03</w:t>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6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(0.05)</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(1) Excludes 477,043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weighted average stock options during the three months ended September 30, 2024 as the impact of such awards was anti-dilutive. For the three months ended September 30, 2025,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stock options were anti-dilutive.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    RELATED PARTY TRANSACTIONS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leases its facility in Milwaukee, Wisconsin from Koss Holdings, LLC, which is controlled by five equal ownership interests in trusts held by the five beneficiaries of a former chairman’s revocable trust and includes current stockholders of the Company. On May 24, 2022, the lease was renewed for a period of five years, ending June 30, 2028, and is being accounted for as an operating lease. The lease extension maintained the rent at a fixed rate of $380,000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per year and included an option to renew at an increased rate of $397,000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an additional five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ending June 30, 2033. The negotiated increase in rent slated for 2028 will be the first increase in rent since 1996. The Company is responsible for all property maintenance, insurance, taxes and other normal expenses related to ownership.</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    ACCOUNTS RECEIVABLE CONCENTRATIONS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September 30, 2025, four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of the Company’s customers each represented more than 10% of total accounts receivable, and collectively these customers accounted for approximately 61% of total accounts receivable (23%, 16% 11% and 11%, respectively). At June 30, 2025, three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customers each represented more than 10% of total accounts receivable (16%, 13% and 11%, respectively), comprising approximately 40% of total trade receivables.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   SEGMENT INFORMATION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has a single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reportable segment, the design, manufacture and sale of headphones and related accessories, which reflects the manner in which the Company’s Chief Executive Officer, who is the Company’s chief operating decision maker (“CODM”), regularly reviews financial information to manage the business, allocate resources and assess performance. The headphones are sold through retailers and distributors both domestically and internationally, as well as direct-to-consumer.</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CODM regularly reviews revenue, certain significant expense categories, net income and select balance sheet items in evaluating segment performance. The significant segment expense categories and other segment items provided to the CODM and included in the measure of segment profit or loss are presented below. </w:t>
      </w:r>
    </w:p>
    <w:tbl>
      <w:tblPr>
        <w:tblW w:w="6748" w:type="dxa"/>
        <w:jc w:val="left"/>
        <w:tblInd w:w="0" w:type="dxa"/>
        <w:tblLayout w:type="fixed"/>
        <w:tblCellMar>
          <w:top w:w="0" w:type="dxa"/>
          <w:left w:w="0" w:type="dxa"/>
          <w:bottom w:w="0" w:type="dxa"/>
          <w:right w:w="0" w:type="dxa"/>
        </w:tblCellMar>
      </w:tblPr>
      <w:tblGrid>
        <w:gridCol w:w="4201"/>
        <w:gridCol w:w="109"/>
        <w:gridCol w:w="211"/>
        <w:gridCol w:w="931"/>
        <w:gridCol w:w="109"/>
        <w:gridCol w:w="211"/>
        <w:gridCol w:w="976"/>
      </w:tblGrid>
      <w:tr>
        <w:trPr/>
        <w:tc>
          <w:tcPr>
            <w:tcW w:w="4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20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420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4,070,778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3,201,868</w:t>
            </w:r>
          </w:p>
        </w:tc>
      </w:tr>
      <w:tr>
        <w:trPr/>
        <w:tc>
          <w:tcPr>
            <w:tcW w:w="4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2,442,086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2,028,942</w:t>
            </w:r>
          </w:p>
        </w:tc>
      </w:tr>
      <w:tr>
        <w:trPr/>
        <w:tc>
          <w:tcPr>
            <w:tcW w:w="4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 margin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36.6%</w:t>
            </w:r>
          </w:p>
        </w:tc>
      </w:tr>
      <w:tr>
        <w:trPr/>
        <w:tc>
          <w:tcPr>
            <w:tcW w:w="4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product certification and compliance testing</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13,032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87,741</w:t>
            </w:r>
          </w:p>
        </w:tc>
      </w:tr>
      <w:tr>
        <w:trPr/>
        <w:tc>
          <w:tcPr>
            <w:tcW w:w="4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Legal and professional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229,134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283,891</w:t>
            </w:r>
          </w:p>
        </w:tc>
      </w:tr>
      <w:tr>
        <w:trPr/>
        <w:tc>
          <w:tcPr>
            <w:tcW w:w="4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compensation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160,884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197,374</w:t>
            </w:r>
          </w:p>
        </w:tc>
      </w:tr>
      <w:tr>
        <w:trPr/>
        <w:tc>
          <w:tcPr>
            <w:tcW w:w="4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1,271,682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1,241,053</w:t>
            </w:r>
          </w:p>
        </w:tc>
      </w:tr>
      <w:tr>
        <w:trPr/>
        <w:tc>
          <w:tcPr>
            <w:tcW w:w="4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1,674,732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1,810,059</w:t>
            </w:r>
          </w:p>
        </w:tc>
      </w:tr>
      <w:tr>
        <w:trPr/>
        <w:tc>
          <w:tcPr>
            <w:tcW w:w="4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243,729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(419,535)</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Segment net income (loss) includes interest income, interest expense and income taxes.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CODM also reviews the following balance sheet items at period-end as part of performance monitoring and resource allocation decisions:</w:t>
      </w:r>
    </w:p>
    <w:tbl>
      <w:tblPr>
        <w:tblW w:w="5574" w:type="dxa"/>
        <w:jc w:val="left"/>
        <w:tblInd w:w="0" w:type="dxa"/>
        <w:tblLayout w:type="fixed"/>
        <w:tblCellMar>
          <w:top w:w="0" w:type="dxa"/>
          <w:left w:w="0" w:type="dxa"/>
          <w:bottom w:w="0" w:type="dxa"/>
          <w:right w:w="0" w:type="dxa"/>
        </w:tblCellMar>
      </w:tblPr>
      <w:tblGrid>
        <w:gridCol w:w="2266"/>
        <w:gridCol w:w="109"/>
        <w:gridCol w:w="298"/>
        <w:gridCol w:w="1472"/>
        <w:gridCol w:w="109"/>
        <w:gridCol w:w="215"/>
        <w:gridCol w:w="1105"/>
      </w:tblGrid>
      <w:tr>
        <w:trPr/>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r>
      <w:tr>
        <w:trPr/>
        <w:tc>
          <w:tcPr>
            <w:tcW w:w="226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As of </w:t>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June 30, 2025</w:t>
            </w:r>
          </w:p>
        </w:tc>
      </w:tr>
      <w:tr>
        <w:trPr/>
        <w:tc>
          <w:tcPr>
            <w:tcW w:w="226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7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2,515,913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2,807,797</w:t>
            </w:r>
          </w:p>
        </w:tc>
      </w:tr>
      <w:tr>
        <w:trPr/>
        <w:tc>
          <w:tcPr>
            <w:tcW w:w="22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Short 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13,942,994</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12,879,882</w:t>
            </w:r>
          </w:p>
        </w:tc>
      </w:tr>
      <w:tr>
        <w:trPr/>
        <w:tc>
          <w:tcPr>
            <w:tcW w:w="2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Long term investments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147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4,000,985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11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4,000,774</w:t>
            </w:r>
          </w:p>
        </w:tc>
      </w:tr>
      <w:tr>
        <w:trPr/>
        <w:tc>
          <w:tcPr>
            <w:tcW w:w="22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4,647,319</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4,885,067</w:t>
            </w:r>
          </w:p>
        </w:tc>
      </w:tr>
      <w:tr>
        <w:trPr/>
        <w:tc>
          <w:tcPr>
            <w:tcW w:w="2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segment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147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37,663,395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11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37,184,609</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applied the provisions of ASU 2023-07 retrospectively and has included comparative information for the three months ended September 30, 2024 for statement of operations items. Because the Company operates as a single reportable segment, the amounts above reconcile directly to the corresponding condensed consolidated financial statement line items. There was no impact on previously reported consolidated net income, financial position or cash flows.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    LEGAL MATTERS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of September 30, 2025, the Company is involved in the matters described below: </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sz w:val="20"/>
        </w:rPr>
        <w:t xml:space="preserve">The Company maintains a program focused on enforcing its intellectual property and, in particular, certain patents in its patent portfolio. As part of this program, the Company filed complaints against certain parties alleging infringement on the Company’s patents relating to its wireless audio technology. </w:t>
      </w:r>
      <w:r>
        <w:rPr>
          <w:rFonts w:ascii="Times New Roman;serif" w:hAnsi="Times New Roman;serif"/>
          <w:b w:val="false"/>
          <w:i w:val="false"/>
          <w:caps w:val="false"/>
          <w:smallCaps w:val="false"/>
          <w:color w:val="000000"/>
          <w:sz w:val="20"/>
        </w:rPr>
        <w:t xml:space="preserve">In the event that a monetary award or judgment is received by the Company in connection with these complaints, all or portions of such amounts, such as contingent legal fees, will be due to third parties. The Company may incur additional fees and costs related to these lawsuits, however, timing and impact on its condensed financial statements is uncertain. Depending on the response to and the underlying results of the enforcement program, the Company may continue to litigate its claims, enter into licensing arrangements or reach some other outcome potentially advantageous to its competitive position.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ultimate resolution of these matters is not determinable unless otherwise noted.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early fiscal 2020, the Company was notified by One-E-Way, Inc. (“One-E-Way”) that some of the Company's wireless products may infringe on certain One-E-Way patents. A Supplemental Notice of Infringement was served on the Company on March 18, 2025 and the complaint was settled in September 2025. The matter was settled for $22,200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had been adequately accrued for as of June 30, 2025.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is also subject to a variety of other claims and suits that arise from time to time in the ordinary course of its business. Although management currently believes that resolving these claims against the Company, individually or in the aggregate, will not have a material adverse impact on its condensed consolidated financial statements, these matters are subject to inherent uncertainties and management’s view of these matters may change in the future.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CAUTIONARY STATEMENT REGARDING FORWARD-LOOKING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This Quarterly Report on Form 10-Q (“Form 10-Q”) contains forward-looking statements within the meaning of that term in the Private Securities Litigation Reform Act of 1995 (the “Act”) (Section 27A of the Securities Act of 1933 and Section 21E of the Securities Exchange Act of 1934). Additional written or oral forward-looking statements may be made by the Company from time to time in filings with the Securities Exchange Commission, press releases, or otherwise. Statements contained in this Form 10-Q that are not historical facts are forward-looking statements made pursuant to the safe harbor provisions of the Act. Forward-looking statements may include, but are not limited to, projections of revenue, income or loss and capital expenditures, statements regarding future operations, anticipated financing needs, compliance with financial covenants in loan agreements, plans for acquisitions or sales of assets or businesses, plans relating to products or services of the Company, assessments of materiality, predictions of future events, the effects of pending and possible litigation and assumptions relating to the foregoing.  In addition, when used in this Form 10-Q, the words “anticipates,” “believes,” “estimates,” “expects,” “intends,” “plans,” “may,” “will,” “shall,” “should,” “could,” “would,” “forecasts,” “predicts,” “potential,” “continue”, “seeks”, “goal”, “projects” and variations thereof and similar expressions are intended to identify forward-looking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Forward-looking statements are inherently subject to risks and uncertainties, some of which cannot be predicted or quantified based on current expectations. Consequently, future events and actual results could differ materially from those set forth in, contemplated by, or underlying the forward-looking statements contained in this Form 10-Q, or in other Company filings, press releases, or otherwise. In addition to the factors discussed in this Form 10-Q, other factors that could contribute to or cause such differences include, but are not limited to, developments in any one or more of the following areas: continued future fluctuations in economic conditions; the Company’s ability to successfully develop new products and assess potential market opportunities; the receptivity of consumers to new consumer electronics technologies; the Company’s ability to successfully and profitably market its products; the rate and consumer acceptance of new product introductions; the amount and nature of competition for the Company’s products; pricing; the number and nature of customers and their product orders; the Company’s ability to meet demand for products; production by third party vendors; foreign manufacturing, sourcing, and sales (including foreign government regulation, trade and importation concerns); uncertainties associated with the pandemics and other health crises or natural disasters, including their possible effects on the Company’s operations and its supply chain; trade tensions between the U.S. and China given recently enacted tariffs and their uncertainty; the impact of the ongoing conflict in Eastern Europe and the instability in the Middle East on the Company’s operations; the effects of any judicial, executive or legislative action affecting the Company or the audio/video industry; borrowing costs; changes in tax rates; the outcome of any litigation, government investigations, enforcement actions or other legal proceedings; the Company’s ability to retain and hire key personnel and other risk factors described in the Risk Factors and in Management’s Discussion and Analysis of Financial Condition and Results of Operations sections of the Company’s Annual Report on Form 10-K for the fiscal year ended June 30, 2025 and subsequently filed Quarterly Reports on Form 10-Q.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Readers are cautioned not to place undue reliance on any forward-looking statements contained herein, which speak only as of the date hereof. The Company undertakes no obligation to publicly release the result of any revisions to these forward-looking statements that may be made to reflect events or circumstances after the date hereof or to reflect new information.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 </w:t>
      </w:r>
      <w:r>
        <w:rPr>
          <w:rFonts w:ascii="Times New Roman;serif" w:hAnsi="Times New Roman;serif"/>
          <w:b/>
          <w:i w:val="false"/>
          <w:caps w:val="false"/>
          <w:smallCaps w:val="false"/>
          <w:color w:val="000000"/>
          <w:sz w:val="20"/>
        </w:rPr>
        <w:t>Item 2.    Management’s Discussion and Analysis of Financial Condition and Results of Operations</w:t>
      </w:r>
      <w:bookmarkStart w:id="11" w:name="MDAA"/>
      <w:bookmarkEnd w:id="11"/>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supplements our management’s discussion and analysis for the year ended June 30, 2025 as contained in our Annual Report on Form 10-K filed with the Securities and Exchange Commission on August 29, 2025, and presumes that readers have read or have access to such discussion and analysis. The following discussion and analysis should also be read together with the unaudited consolidated financial statements and the related notes thereto included elsewhere in this Quarterly Report on Form 10-Q. This discussion contains forward-looking statements that reflect our plans and strategy for our business and involve risks and uncertainties. You should review the “Risk Factors” section of our Annual Report on Form 10-K for the fiscal year ended June 30, 2025, as updated by subsequent filings with the Securities and Exchange Commission, for a discussion of important factors that could cause actual results to differ materially from the results described in or implied by the forward-looking statements contained in the following discussion and analysis. You should carefully read “Cautionary Statement Regarding Forward-Looking Statements” in this Quarterly Report on Form 10-Q.</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Overview</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initially developed stereo headphones in 1958 and has been recognized as a leader in the industry ever since. Koss markets a complete line of high-fidelity headphones, wireless Bluetooth® headphones, wireless Bluetooth® speakers, computer headsets, telecommunications headsets, and active noise canceling headphones. The Company operates as one business segment, as its principal business line is the design, manufacture and sale of stereo headphones and related accessories.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Financial Results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selected financial data for the three months ended September 30, 2025 and 2024:</w:t>
      </w:r>
    </w:p>
    <w:tbl>
      <w:tblPr>
        <w:tblW w:w="8364" w:type="dxa"/>
        <w:jc w:val="left"/>
        <w:tblInd w:w="0" w:type="dxa"/>
        <w:tblLayout w:type="fixed"/>
        <w:tblCellMar>
          <w:top w:w="0" w:type="dxa"/>
          <w:left w:w="0" w:type="dxa"/>
          <w:bottom w:w="0" w:type="dxa"/>
          <w:right w:w="0" w:type="dxa"/>
        </w:tblCellMar>
      </w:tblPr>
      <w:tblGrid>
        <w:gridCol w:w="5926"/>
        <w:gridCol w:w="211"/>
        <w:gridCol w:w="931"/>
        <w:gridCol w:w="109"/>
        <w:gridCol w:w="211"/>
        <w:gridCol w:w="976"/>
      </w:tblGrid>
      <w:tr>
        <w:trPr/>
        <w:tc>
          <w:tcPr>
            <w:tcW w:w="5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5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5926" w:type="dxa"/>
            <w:tcBorders/>
            <w:vAlign w:val="center"/>
          </w:tcPr>
          <w:p>
            <w:pPr>
              <w:pStyle w:val="TableContents"/>
              <w:bidi w:val="0"/>
              <w:spacing w:before="0" w:after="283"/>
              <w:jc w:val="left"/>
              <w:rPr>
                <w:sz w:val="4"/>
                <w:szCs w:val="4"/>
              </w:rPr>
            </w:pPr>
            <w:r>
              <w:rPr>
                <w:sz w:val="4"/>
                <w:szCs w:val="4"/>
              </w:rPr>
            </w:r>
          </w:p>
        </w:tc>
        <w:tc>
          <w:tcPr>
            <w:tcW w:w="243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Three Months Ended</w:t>
            </w:r>
          </w:p>
        </w:tc>
      </w:tr>
      <w:tr>
        <w:trPr/>
        <w:tc>
          <w:tcPr>
            <w:tcW w:w="5926" w:type="dxa"/>
            <w:tcBorders/>
            <w:vAlign w:val="center"/>
          </w:tcPr>
          <w:p>
            <w:pPr>
              <w:pStyle w:val="TableContents"/>
              <w:bidi w:val="0"/>
              <w:spacing w:before="0" w:after="283"/>
              <w:jc w:val="left"/>
              <w:rPr>
                <w:sz w:val="4"/>
                <w:szCs w:val="4"/>
              </w:rPr>
            </w:pPr>
            <w:r>
              <w:rPr>
                <w:sz w:val="4"/>
                <w:szCs w:val="4"/>
              </w:rPr>
            </w:r>
          </w:p>
        </w:tc>
        <w:tc>
          <w:tcPr>
            <w:tcW w:w="243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September 30</w:t>
            </w:r>
          </w:p>
        </w:tc>
      </w:tr>
      <w:tr>
        <w:trPr/>
        <w:tc>
          <w:tcPr>
            <w:tcW w:w="592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Financial Performance Summary</w:t>
            </w:r>
          </w:p>
        </w:tc>
        <w:tc>
          <w:tcPr>
            <w:tcW w:w="114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59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4,070,778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3,201,868</w:t>
            </w:r>
          </w:p>
        </w:tc>
      </w:tr>
      <w:tr>
        <w:trPr/>
        <w:tc>
          <w:tcPr>
            <w:tcW w:w="59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 increase (decrease) % from prior year period</w:t>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r>
      <w:tr>
        <w:trPr/>
        <w:tc>
          <w:tcPr>
            <w:tcW w:w="59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1,628,692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1,172,926</w:t>
            </w:r>
          </w:p>
        </w:tc>
      </w:tr>
      <w:tr>
        <w:trPr/>
        <w:tc>
          <w:tcPr>
            <w:tcW w:w="59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 as % of net sales</w:t>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36.6%</w:t>
            </w:r>
          </w:p>
        </w:tc>
      </w:tr>
      <w:tr>
        <w:trPr/>
        <w:tc>
          <w:tcPr>
            <w:tcW w:w="59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1,674,732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1,810,059</w:t>
            </w:r>
          </w:p>
        </w:tc>
      </w:tr>
      <w:tr>
        <w:trPr/>
        <w:tc>
          <w:tcPr>
            <w:tcW w:w="59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 as % of net sales</w:t>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56.5%</w:t>
            </w:r>
          </w:p>
        </w:tc>
      </w:tr>
      <w:tr>
        <w:trPr/>
        <w:tc>
          <w:tcPr>
            <w:tcW w:w="59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income</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293,128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220,358</w:t>
            </w:r>
          </w:p>
        </w:tc>
      </w:tr>
      <w:tr>
        <w:trPr/>
        <w:tc>
          <w:tcPr>
            <w:tcW w:w="59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expense</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59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(loss) before income tax provision</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246,489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(416,775)</w:t>
            </w:r>
          </w:p>
        </w:tc>
      </w:tr>
      <w:tr>
        <w:trPr/>
        <w:tc>
          <w:tcPr>
            <w:tcW w:w="59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(loss) before income tax provision as % of net sales</w:t>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(13.0)%</w:t>
            </w:r>
          </w:p>
        </w:tc>
      </w:tr>
      <w:tr>
        <w:trPr/>
        <w:tc>
          <w:tcPr>
            <w:tcW w:w="59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provision</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2,760</w:t>
            </w:r>
          </w:p>
        </w:tc>
      </w:tr>
      <w:tr>
        <w:trPr/>
        <w:tc>
          <w:tcPr>
            <w:tcW w:w="59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provision as % of income (loss) before income tax provision</w:t>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(0.7)%</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bookmarkStart w:id="12" w:name="_Hlk210997070"/>
      <w:bookmarkEnd w:id="12"/>
      <w:r>
        <w:rPr>
          <w:rFonts w:ascii="Times New Roman;serif" w:hAnsi="Times New Roman;serif"/>
          <w:b w:val="false"/>
          <w:i w:val="false"/>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Fiscal 2026 Period Results Compared with Fiscal 2025 Period</w:t>
      </w:r>
    </w:p>
    <w:p>
      <w:pPr>
        <w:pStyle w:val="TextBody"/>
        <w:bidi w:val="0"/>
        <w:spacing w:lineRule="auto" w:line="259"/>
        <w:rPr>
          <w:rFonts w:ascii="Times New Roman;serif" w:hAnsi="Times New Roman;serif"/>
          <w:b/>
          <w:i/>
          <w:sz w:val="20"/>
        </w:rPr>
      </w:pPr>
      <w:r>
        <w:rPr>
          <w:rFonts w:ascii="Times New Roman;serif" w:hAnsi="Times New Roman;serif"/>
          <w:b/>
          <w:i/>
          <w:sz w:val="20"/>
        </w:rPr>
        <w:t>(comments refer to the three-month periods ended September 30, 2025 and 2024 unless otherwise noted)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sales for the three months ended September 30, 2025 totaled $4,071,000, which reflects an increase of $869,000, or 27.1%, compared to $3,202,000 in the same period of the previous year. This growth was primarily attributable to a substantial order from an Education customer, as well as an increase in direct-to-consumer (DTC) sales of $170,000, or 22.5%, and a notable 243% year-over-year rise in sales to the Asia market. These gains, however, were partially offset by delays in re-orders from certain customers in the European market.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Export sales of $749,000 were $285,000, or 27.6%, behind sales of $1,035,000 for the first fiscal quarter of the prior year. Sales to our largest distributors in central and northern Europe were down 70.0%, mainly as a result of orders submitted too late to ship in the quarter. Stronger than expected sales to our Asian distributors helped to make up for the decline from the same quarter in the prior year.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Sales to the domestic markets increased from $2,167,000 in the three months ended September 30, 2024 to $3,322,000 for the current fiscal year’s first quarter, growth of $1,154,000, or 53.3%. The sizable sale of custom headphones to the Company’s largest education customer, along with a nearly 23% rise in DTC sales were the main contributing factors to the significant sales growth year over year. These gains were partially offset by a 38% decrease in sales to the Company’s largest domestic distributor and a 27% decline in sales to e-tailers.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Gross margins as a percentage of net sales for the three months ended September 30, 2025 was 40.0%, an increase of 340 basis points over the gross margin of 36.6% for the same fiscal quarter in the prior year. The current year improvement in margins was a result of a favorable customer mix, prior year’s reserve established for excess inventory which did not repeat and a reduced margin impact from fixed manufacturing costs. The sale of inventory purchased at the 145% tariff rate adversely impacted the margins for the current quarter, offsetting some of the gains.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Freight costs remained stable throughout the quarter as capacity and demand dynamics normalized. Shipment costs are projected to rise in the second quarter due to a planned peak season surcharge in October due to anticipated spikes in demand for freight capacity ahead of major retail and holiday seasons. The Company continues its relationship with a dedicated freight forwarder and also maintains a relationship with a bonded warehouse to help defer tariff payments. The additional unloading, storage and loading costs at this facility are offset by the postponed payments to the Custom Border Patrol for stored product until needed. Transit times increased over the previous quarter. </w:t>
      </w:r>
      <w:bookmarkStart w:id="13" w:name="_Hlk156992840"/>
      <w:bookmarkEnd w:id="13"/>
      <w:r>
        <w:rPr>
          <w:rFonts w:ascii="Times New Roman;serif" w:hAnsi="Times New Roman;serif"/>
          <w:b w:val="false"/>
          <w:i w:val="false"/>
          <w:caps w:val="false"/>
          <w:smallCaps w:val="false"/>
          <w:sz w:val="20"/>
        </w:rPr>
        <w:t>The Company will continue monitoring relevant events and adapt as needed to ensure product availability.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Tariff policies have fluctuated over the last six months, particularly with respect to trade policies and tariffs applied to trade between China and the U.S. The Company is currently subject to certain tariff rates on products manufactured in China that are lower than those previously imposed, but future changes in trade policy could result in significantly higher duties. Federal courts have ruled that the tariffs imposed under the International Emergency Economic Powers Act (IEEPA) are illegal and exceeded the President’s statutory authority, however, the Supreme Court is scheduled to consider the IEEPA tariffs in the consolidated case of Learning Resources v. Trump in November 2025. If the Supreme Court ultimately rules that the IEEPA tariffs were illegally imposed, duty refunds could be possible, though the administration could turn to other statutes to support tariffs. Given the volatility of the tariff landscape and the substantial amount of product coming from China, the Company continues to closely monitor the latest updates and their impact on operations, planning efforts and financial conditions.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Selling, general, and administrative expenses totaled $1,675,000 for the three months ended September 30, 2025, a decrease of $135,000, or 7.5%, compared to $1,810,000 for the same period in the prior year. This decline was primarily due to lower spending on new product compliance testing and certifications, reduced legal fees, and a decrease in deferred compensation expense associated with the change in the discount rate used to calculate the related liability</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Stock-based compensation expense also declined as the remaining unvested stock options granted as part of the Koss Corporation 2012 Omnibus Incentive Plan (the “2012 Plan”) are nearly fully vested. </w:t>
      </w:r>
      <w:r>
        <w:rPr>
          <w:rFonts w:ascii="Times New Roman;serif" w:hAnsi="Times New Roman;serif"/>
          <w:b w:val="false"/>
          <w:i w:val="false"/>
          <w:caps w:val="false"/>
          <w:smallCaps w:val="false"/>
          <w:color w:val="000000"/>
          <w:sz w:val="20"/>
        </w:rPr>
        <w:t xml:space="preserve">Higher sales commissions to external sales representatives partially offset </w:t>
      </w:r>
      <w:r>
        <w:rPr>
          <w:rFonts w:ascii="Times New Roman;serif" w:hAnsi="Times New Roman;serif"/>
          <w:b w:val="false"/>
          <w:i w:val="false"/>
          <w:caps w:val="false"/>
          <w:smallCaps w:val="false"/>
          <w:sz w:val="20"/>
        </w:rPr>
        <w:t>some of the favorability.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tax expense of $2,760 was recorded for each of the three months ended September 30, 2025 and 2024, reflecting the minimum required state tax due. No federal income tax was recorded due to net operating loss (NOL) carryforwards available to offset most taxable income. The effective tax rate for the three months ended September 30, 2025 and 2024 was 1.1% and 0.7%, respectively. It is anticipated that the effective rate in future years will continue to be reduced by utilization of a portion or all of the available federal and state net operating loss (NOL) carryforwards that existed as of June 30, 2025.</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remaining expected federal tax loss carryforward approximates $34,500,000 at the end of the first quarter of fiscal year 2026, resulting in a</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deferred tax asset related to the Company's net operating loss carry forwards of roughly $8,800,000 as of September 30, 2025. </w:t>
      </w:r>
      <w:r>
        <w:rPr>
          <w:rFonts w:ascii="Times New Roman;serif" w:hAnsi="Times New Roman;serif"/>
          <w:b w:val="false"/>
          <w:i w:val="false"/>
          <w:caps w:val="false"/>
          <w:smallCaps w:val="false"/>
          <w:color w:val="000000"/>
          <w:sz w:val="20"/>
        </w:rPr>
        <w:t xml:space="preserve">The </w:t>
      </w:r>
      <w:r>
        <w:rPr>
          <w:rFonts w:ascii="Times New Roman;serif" w:hAnsi="Times New Roman;serif"/>
          <w:b w:val="false"/>
          <w:i w:val="false"/>
          <w:caps w:val="false"/>
          <w:smallCaps w:val="false"/>
          <w:sz w:val="20"/>
        </w:rPr>
        <w:t xml:space="preserve">valuation allowance was adjusted accordingly to fully offset the net deferred tax asset as there is not sufficient positive evidence to support a reduction in a full valuation allowance as, excluding unusual, infrequent items, a three-year cumulative tax loss has occurred.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maintains a program focused on enforcing its intellectual property and, in particular, certain of its patent portfolio. The Company has enforced its intellectual property by filing complaints against certain parties alleging infringement on the Company’s patents relating to its wireless headphone technology. If efforts are successful, the Company may receive royalties, offers to purchase its intellectual property, or other remedies advantageous to its competitive position from time to time. However, there is no guarantee of a positive outcome from these efforts in the future, which could ultimately be time-consuming and unsuccessful. Additionally, the Company may owe all or a portion of any future proceeds arising from the enforcement program to third parties.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believes that its financial position remains strong. The Company had $2.5 million of cash and cash equivalents, $13.9 million of short-term investments and available credit facilities of $5.0 million on September 30, 2025. The Company also had $4.0 million of long-term investments in U.S. treasury debt securities on September 30, 2025.</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Recent Trends</w:t>
      </w:r>
    </w:p>
    <w:p>
      <w:pPr>
        <w:pStyle w:val="TextBody"/>
        <w:shd w:fill="FFFFFF" w:val="clear"/>
        <w:bidi w:val="0"/>
        <w:spacing w:lineRule="auto" w:line="259"/>
        <w:rPr>
          <w:rFonts w:ascii="Times New Roman;serif" w:hAnsi="Times New Roman;serif"/>
          <w:b w:val="false"/>
          <w:i w:val="false"/>
          <w:caps w:val="false"/>
          <w:smallCaps w:val="false"/>
          <w:color w:val="000000"/>
          <w:sz w:val="20"/>
          <w:shd w:fill="FFFFFF" w:val="clear"/>
        </w:rPr>
      </w:pPr>
      <w:r>
        <w:rPr>
          <w:rFonts w:ascii="Times New Roman;serif" w:hAnsi="Times New Roman;serif"/>
          <w:b w:val="false"/>
          <w:i w:val="false"/>
          <w:caps w:val="false"/>
          <w:smallCaps w:val="false"/>
          <w:color w:val="000000"/>
          <w:sz w:val="20"/>
          <w:shd w:fill="FFFFFF" w:val="clear"/>
        </w:rPr>
        <w:t xml:space="preserve">Recent and ongoing macroeconomic and geopolitical conditions have impacted, and will continue to impact, our business. These include economic uncertainty from unexpected job growth, tariff volatility and the global trade war, elevated inflation, weakening of the job market and rising long-term unemployment, sustained higher interest rates (albeit descending over the last few months), reduced consumer confidence, disruption in our supply chain, the conflict in Eastern Europe and instability in the Middle East and increased risk of cyberattacks. </w:t>
      </w:r>
    </w:p>
    <w:p>
      <w:pPr>
        <w:pStyle w:val="TextBody"/>
        <w:shd w:fill="FFFFFF" w:val="clear"/>
        <w:bidi w:val="0"/>
        <w:spacing w:lineRule="auto" w:line="259"/>
        <w:rPr>
          <w:rFonts w:ascii="Times New Roman;serif" w:hAnsi="Times New Roman;serif"/>
          <w:b w:val="false"/>
          <w:i w:val="false"/>
          <w:caps w:val="false"/>
          <w:smallCaps w:val="false"/>
          <w:sz w:val="20"/>
        </w:rPr>
      </w:pPr>
      <w:bookmarkStart w:id="14" w:name="eolPage21"/>
      <w:bookmarkEnd w:id="14"/>
      <w:r>
        <w:rPr>
          <w:rFonts w:ascii="Times New Roman;serif" w:hAnsi="Times New Roman;serif"/>
          <w:b w:val="false"/>
          <w:i w:val="false"/>
          <w:caps w:val="false"/>
          <w:smallCaps w:val="false"/>
          <w:sz w:val="20"/>
        </w:rPr>
        <w:t xml:space="preserve">While the impact of these factors on our fiscal 2026 performance remains uncertain, we will continue to evaluate the extent to which these factors will impact our business, financial condition, or results of operations. These and other uncertainties with respect to these recent events could result in changes to our current expectations. </w:t>
      </w:r>
    </w:p>
    <w:p>
      <w:pPr>
        <w:pStyle w:val="TextBody"/>
        <w:shd w:fill="FFFFFF" w:val="clear"/>
        <w:bidi w:val="0"/>
        <w:spacing w:lineRule="auto" w:line="259"/>
        <w:rPr>
          <w:rFonts w:ascii="Times New Roman;serif" w:hAnsi="Times New Roman;serif"/>
          <w:sz w:val="20"/>
        </w:rPr>
      </w:pPr>
      <w:r>
        <w:rPr>
          <w:rFonts w:ascii="Times New Roman;serif" w:hAnsi="Times New Roman;serif"/>
          <w:b w:val="false"/>
          <w:i/>
          <w:color w:val="000000"/>
          <w:sz w:val="20"/>
          <w:shd w:fill="FFFFFF" w:val="clear"/>
        </w:rPr>
        <w:t xml:space="preserve">Government Shutdown - </w:t>
      </w:r>
      <w:r>
        <w:rPr>
          <w:rFonts w:ascii="Times New Roman;serif" w:hAnsi="Times New Roman;serif"/>
          <w:b w:val="false"/>
          <w:i w:val="false"/>
          <w:caps w:val="false"/>
          <w:smallCaps w:val="false"/>
          <w:sz w:val="20"/>
        </w:rPr>
        <w:t>The federal government shutdown on October 1, 2025</w:t>
      </w:r>
      <w:r>
        <w:rPr>
          <w:rFonts w:ascii="Times New Roman;serif" w:hAnsi="Times New Roman;serif"/>
          <w:b/>
          <w:i w:val="false"/>
          <w:caps w:val="false"/>
          <w:smallCaps w:val="false"/>
          <w:sz w:val="20"/>
        </w:rPr>
        <w: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when new appropriations or a continuing resolution failed to be passed. The economic impact of a short shutdown on the economy is generally modest and partially recovered later, however, given the current environment of weaker hiring, inflation concerns and global uncertainty, the risk to the economy could potentially be higher than in previous shutdowns and will depend on duration. The Company does provide product to the federal government and fulfillment of these orders has been delayed as a direct result of the shutdown.</w:t>
      </w:r>
    </w:p>
    <w:p>
      <w:pPr>
        <w:pStyle w:val="TextBody"/>
        <w:shd w:fill="FFFFFF" w:val="clear"/>
        <w:bidi w:val="0"/>
        <w:spacing w:lineRule="auto" w:line="259"/>
        <w:rPr>
          <w:rFonts w:ascii="Times New Roman;serif" w:hAnsi="Times New Roman;serif"/>
          <w:sz w:val="20"/>
        </w:rPr>
      </w:pPr>
      <w:r>
        <w:rPr>
          <w:rFonts w:ascii="Times New Roman;serif" w:hAnsi="Times New Roman;serif"/>
          <w:b w:val="false"/>
          <w:i/>
          <w:color w:val="000000"/>
          <w:sz w:val="20"/>
          <w:shd w:fill="FFFFFF" w:val="clear"/>
        </w:rPr>
        <w:t xml:space="preserve">Tariffs - </w:t>
      </w:r>
      <w:r>
        <w:rPr>
          <w:rFonts w:ascii="Times New Roman;serif" w:hAnsi="Times New Roman;serif"/>
          <w:b w:val="false"/>
          <w:i w:val="false"/>
          <w:caps w:val="false"/>
          <w:smallCaps w:val="false"/>
          <w:sz w:val="20"/>
        </w:rPr>
        <w:t xml:space="preserve">In April 2025, the U.S. government imposed tariffs of up to 145% in certain imports from China, which significantly increased the Company’s expected duty cost for goods sourced from China. Since then, President Trump and his administration have implemented several temporary pauses to allow for trade negotiations. In May 2025, a 90-day tariff truce between the U.S. and China reduced reciprocal tariffs down to 10%, however, an additional 20% fentanyl-related tariff remained, resulting in a total 30% tariff on many Chinese goods. In August 2025 President Trump signed an executive order extending the tariff pause for another 90 days, with the suspension of additional reciprocal tariffs on Chinese goods remaining in effect until November 10, 2025 while trade negotiations continue. As of October 30, 2025, it has been reported that the fentanyl-related tariff has been reduced by half, to 10%. The suspension of further, heightened tariffs allows time to de-escalate tensions and reach a potential long-term agreement. However, the Company continues to monitor the volatile tariff landscape to assess its impact on inflation and consumer sentiment which could impact operations, planning, and financial conditions. </w:t>
      </w:r>
    </w:p>
    <w:p>
      <w:pPr>
        <w:pStyle w:val="TextBody"/>
        <w:shd w:fill="FFFFFF" w:val="clear"/>
        <w:bidi w:val="0"/>
        <w:spacing w:lineRule="auto" w:line="259"/>
        <w:rPr>
          <w:rFonts w:ascii="Times New Roman;serif" w:hAnsi="Times New Roman;serif"/>
          <w:sz w:val="20"/>
        </w:rPr>
      </w:pPr>
      <w:r>
        <w:rPr>
          <w:rFonts w:ascii="Times New Roman;serif" w:hAnsi="Times New Roman;serif"/>
          <w:b w:val="false"/>
          <w:i/>
          <w:color w:val="000000"/>
          <w:sz w:val="20"/>
          <w:shd w:fill="FFFFFF" w:val="clear"/>
        </w:rPr>
        <w:t xml:space="preserve">Inflationary Cost Environment and the Impact on Consumer Confidence – </w:t>
      </w:r>
      <w:r>
        <w:rPr>
          <w:rFonts w:ascii="Times New Roman;serif" w:hAnsi="Times New Roman;serif"/>
          <w:b w:val="false"/>
          <w:i w:val="false"/>
          <w:caps w:val="false"/>
          <w:smallCaps w:val="false"/>
          <w:color w:val="000000"/>
          <w:sz w:val="20"/>
          <w:shd w:fill="FFFFFF" w:val="clear"/>
        </w:rPr>
        <w:t>In addition to the expected inflation as a result of the newly imposed tariffs</w:t>
      </w:r>
      <w:r>
        <w:rPr>
          <w:rFonts w:ascii="Times New Roman;serif" w:hAnsi="Times New Roman;serif"/>
          <w:b w:val="false"/>
          <w:i w:val="false"/>
          <w:caps w:val="false"/>
          <w:smallCaps w:val="false"/>
          <w:sz w:val="20"/>
        </w:rPr>
        <w:t xml:space="preserve">, sustained higher interest rates and higher energy costs continue. While the Federal Reserve cut its benchmark federal funds rate by .25 percentage points since June 30, 2025, the overall effect on consumer sentiment and purchasing decisions is muted because a small cut typically does not offset more dominant economic factors, such as concerns over inflation and the labor market. Consumers may still put off making purchase decisions and cut back on overall spending, which could impact the Company’s sales volumes. </w:t>
      </w:r>
    </w:p>
    <w:p>
      <w:pPr>
        <w:pStyle w:val="TextBody"/>
        <w:shd w:fill="FFFFFF" w:val="clear"/>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noted, the Company will experience higher costs</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 xml:space="preserve">for commodities and packaging materials due to the recently enacted tariffs and </w:t>
      </w:r>
      <w:r>
        <w:rPr>
          <w:rFonts w:ascii="Times New Roman;serif" w:hAnsi="Times New Roman;serif"/>
          <w:b w:val="false"/>
          <w:i w:val="false"/>
          <w:caps w:val="false"/>
          <w:smallCaps w:val="false"/>
          <w:sz w:val="20"/>
        </w:rPr>
        <w:t>will react with pricing actions in the coming quarter and as it deems necessary. The Company continues to work with a dedicated freight forwarding partner to minimize freight rate increases. Other risk factors further exacerbated by inflation include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supply chain disruptions, increased oil and energy costs, risks of international operations and the recruitment and retention of talent.</w:t>
      </w:r>
    </w:p>
    <w:p>
      <w:pPr>
        <w:pStyle w:val="TextBody"/>
        <w:bidi w:val="0"/>
        <w:spacing w:lineRule="auto" w:line="259"/>
        <w:rPr>
          <w:rFonts w:ascii="Times New Roman;serif" w:hAnsi="Times New Roman;serif"/>
          <w:sz w:val="20"/>
        </w:rPr>
      </w:pPr>
      <w:bookmarkStart w:id="15" w:name="_Hlk195797684"/>
      <w:bookmarkEnd w:id="15"/>
      <w:r>
        <w:rPr>
          <w:rFonts w:ascii="Times New Roman;serif" w:hAnsi="Times New Roman;serif"/>
          <w:b w:val="false"/>
          <w:i/>
          <w:color w:val="000000"/>
          <w:sz w:val="20"/>
          <w:shd w:fill="FFFFFF" w:val="clear"/>
        </w:rPr>
        <w:t xml:space="preserve">Supply Chain Disruption and Trade Tensions with China - </w:t>
      </w:r>
      <w:r>
        <w:rPr>
          <w:rFonts w:ascii="Times New Roman;serif" w:hAnsi="Times New Roman;serif"/>
          <w:b w:val="false"/>
          <w:i w:val="false"/>
          <w:caps w:val="false"/>
          <w:smallCaps w:val="false"/>
          <w:sz w:val="20"/>
        </w:rPr>
        <w:t xml:space="preserve">The Company faces significant risks due to reliance on third-party supply chains, primarily in southern China and Taiwan, distribution networks and the availability of necessary components to produce a considerable number of our products. Issues such as pandemic restrictions, geopolitical unrest, labor shortages, strikes, and component procurement failures could delay manufacturing and increase costs. The escalating U.S.-China tariff war has severely disrupted supply chains, impacting both domestic industries and global trade dynamics. Continued geopolitical tensions between China and Taiwan may affect future shipments from Taiwan-based suppliers. Adverse changes in social, political, regulatory, or economic conditions could increase product costs or delay shipments. The escalation of trade tensions might lead to retaliatory trade restrictions, potentially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affecting the Company's ability to source products from China or conduct business internationally. Any alterations to our business strategy</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or operations made in order to adapt to or comply with any such changes would be time-consuming and expensive,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with limited ability to pass increased tariffs and freight costs onto customers. Broad tariffs may shift supply chains out of China, which could cause inflation to rise, impacting costs and consumer demand. The Company will continue to monitor the evolving situation and others that may arise as the changes in the current labor landscape, coupled with rising inflation and energy prices, could potentially exacerbate disruptions in the supply chain, delay product shipments and increase transportation costs. </w:t>
      </w:r>
    </w:p>
    <w:p>
      <w:pPr>
        <w:pStyle w:val="TextBody"/>
        <w:shd w:fill="FFFFFF" w:val="clear"/>
        <w:bidi w:val="0"/>
        <w:spacing w:lineRule="auto" w:line="259"/>
        <w:rPr>
          <w:rFonts w:ascii="Times New Roman;serif" w:hAnsi="Times New Roman;serif"/>
          <w:sz w:val="20"/>
        </w:rPr>
      </w:pPr>
      <w:r>
        <w:rPr>
          <w:rFonts w:ascii="Times New Roman;serif" w:hAnsi="Times New Roman;serif"/>
          <w:b w:val="false"/>
          <w:i/>
          <w:color w:val="000000"/>
          <w:sz w:val="20"/>
        </w:rPr>
        <w:t xml:space="preserve">Russia’s Invasion of Ukraine - </w:t>
      </w:r>
      <w:r>
        <w:rPr>
          <w:rFonts w:ascii="Times New Roman;serif" w:hAnsi="Times New Roman;serif"/>
          <w:b w:val="false"/>
          <w:i w:val="false"/>
          <w:caps w:val="false"/>
          <w:smallCaps w:val="false"/>
          <w:sz w:val="20"/>
        </w:rPr>
        <w:t>Financial and credit markets around the world experienced volatility following the invasion of Ukraine by Russia in February 2022. In response to the invasion, the United States, United Kingdom, and European Union, along with others, imposed significant sanctions and export controls against Russia, Russian banks and certain Russian individuals and these sanctions remain unchanged. In accordance with Executive Order 14071 signed on April 6, 2022, the Company suspended sales to Russia. While there is a humanitarian crisis in Ukraine created by the war and the population continues to seek refuge in other countries, the Company continued to receive orders from their Ukrainian distributor since the conflict began with potential for more in the current year. During the three months ended September 30, 2025 and 2024, there were no sales to Russia.</w:t>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shd w:fill="FFFFFF" w:val="clear"/>
        </w:rPr>
        <w:t>Cyberattacks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Cyberattacks are a growing geopolitical risk, becoming larger, more frequent, more sophisticated and more relentless as technology has evolved, resulting in privacy, security, and compliance concerns. They are a significant threat to individual organizations and national security. High-profile security breaches at other companies and in government agencies have increased in recent years, and security industry experts and government officials have warned about the risks of hackers and cyberattacks targeting businesses. We rely on accounting, financial, and operational management information systems to conduct our operations. Any disruption in these systems could adversely affect our ability to conduct our business. Furthermore, as part of our normal business activities, we collect and store common confidential information about customers, employees, vendors, and suppliers. This information is entitled to protection under a number of regulatory regimes. Any failure to maintain the security of the data, including the penetration of our network security and the misappropriation of confidential and personal information, could result in business disruption, damage to our reputation, financial obligations to third parties, fines, penalties, regulatory proceedings and private litigation with potentially large costs, and also result in deterioration in customers confidence in us and other competitive disadvantages, and thus could have a material adverse impact on our financial condition and results of operations. While we devote resources to security measures to protect our systems and data, these measures cannot provide absolute security and there is a risk that these types of attacks could impact the entire supply and distribution chain for the Company’s product line. Given connectivity through the internet, the Company can only be as strong as its weakest link, whether that is a financial service provider, third party distributor, reseller, transportation service provider, contract manufacturer, customer or consumer.</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shd w:fill="FFFF00" w:val="clear"/>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Liquidity and Capital Resources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Cash Flows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cash flows from operating, investing and financing activities for the three months ended September 30, 2025 and 2024:</w:t>
      </w:r>
    </w:p>
    <w:p>
      <w:pPr>
        <w:pStyle w:val="TextBody"/>
        <w:bidi w:val="0"/>
        <w:spacing w:lineRule="auto" w:line="259"/>
        <w:rPr>
          <w:caps w:val="false"/>
          <w:smallCaps w:val="false"/>
        </w:rPr>
      </w:pPr>
      <w:r>
        <w:rPr>
          <w:caps w:val="false"/>
          <w:smallCaps w:val="false"/>
        </w:rPr>
        <w:t> </w:t>
      </w:r>
    </w:p>
    <w:tbl>
      <w:tblPr>
        <w:tblW w:w="6024" w:type="dxa"/>
        <w:jc w:val="left"/>
        <w:tblInd w:w="0" w:type="dxa"/>
        <w:tblLayout w:type="fixed"/>
        <w:tblCellMar>
          <w:top w:w="0" w:type="dxa"/>
          <w:left w:w="0" w:type="dxa"/>
          <w:bottom w:w="0" w:type="dxa"/>
          <w:right w:w="0" w:type="dxa"/>
        </w:tblCellMar>
      </w:tblPr>
      <w:tblGrid>
        <w:gridCol w:w="3496"/>
        <w:gridCol w:w="211"/>
        <w:gridCol w:w="1051"/>
        <w:gridCol w:w="109"/>
        <w:gridCol w:w="211"/>
        <w:gridCol w:w="946"/>
      </w:tblGrid>
      <w:tr>
        <w:trPr/>
        <w:tc>
          <w:tcPr>
            <w:tcW w:w="3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cash (used in) provided by:</w:t>
            </w:r>
          </w:p>
        </w:tc>
        <w:tc>
          <w:tcPr>
            <w:tcW w:w="126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34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activities</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762,617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201,554</w:t>
            </w:r>
          </w:p>
        </w:tc>
      </w:tr>
      <w:tr>
        <w:trPr/>
        <w:tc>
          <w:tcPr>
            <w:tcW w:w="34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Investing activities</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(1,052,130)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(392,773)</w:t>
            </w:r>
          </w:p>
        </w:tc>
      </w:tr>
      <w:tr>
        <w:trPr/>
        <w:tc>
          <w:tcPr>
            <w:tcW w:w="34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Financing activities</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104,870</w:t>
            </w:r>
          </w:p>
        </w:tc>
      </w:tr>
      <w:tr>
        <w:trPr/>
        <w:tc>
          <w:tcPr>
            <w:tcW w:w="34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decrease in cash and cash equivalents</w:t>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(291,884)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(86,349)</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Operating Activities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cash provided by operating activities during the three months ending September 30, 2025 was primarily due to the IRS refund of $512,000 relating to employer payroll taxes incorrectly paid in prior years on the gains from the disqualifying dispositions of incentive stock options combined with improvements in cash flow related to working capital, namely the reduction of inventory levels and the collection of customer receivables. Cash provided by operating activities during the three months ended September 30, 2024 was primarily a result of customer deposits for orders shipping in the next quarter. Also contributing to the positive cash flow was the refund of $362,000 by the Company’s payroll vendor relating to employee payroll taxes on the gains from the disqualifying dispositions of incentive stock options as the Company chose to instead issue the checks directly to the employees. </w:t>
      </w:r>
    </w:p>
    <w:p>
      <w:pPr>
        <w:pStyle w:val="TextBody"/>
        <w:bidi w:val="0"/>
        <w:spacing w:lineRule="auto" w:line="259"/>
        <w:rPr>
          <w:rFonts w:ascii="Times New Roman;serif" w:hAnsi="Times New Roman;serif"/>
          <w:b/>
          <w:i/>
          <w:sz w:val="20"/>
        </w:rPr>
      </w:pPr>
      <w:r>
        <w:rPr>
          <w:rFonts w:ascii="Times New Roman;serif" w:hAnsi="Times New Roman;serif"/>
          <w:b/>
          <w:i/>
          <w:sz w:val="20"/>
        </w:rPr>
        <w:t>Investing Activities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Cash used by investing activities for the three months ended September 30, 2025 was primarily due to the purchase of a new U.S. Treasury security after receipt of payment on a significant order. The $1,020,000 security was purchased at a $20,000 discount. The Company also paid premiums of $51,000 on the company-owned life insurance policies on two of its executives. Cash used by investing activities for the three months ended September 30, 2024 was related mostly to fixed asset expenditures, namely the replacement of a second roof section of the building, and the payment of the premiums on the company-owned life insurance policies on two of its executives. Proceeds of $5,034,000 received during the three months ended September 30, 2024 from the maturity of U.S. Treasury securities were mostly reinvested to purchase $5,057,000 of similar securities at a $58,000 discount.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Financing Activities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used for financing activities in the three-month period ended September 30, 2025 was for principal payments on the finance lease for a new reach truck for the warehouse. Cash from the exercise of stock options provided the only cash from financing activities for the first quarter of the prior fiscal year. An aggregate of 51,000 shares of common stock were issued as a result of employee stock option exercises under grants still outstanding from the Company’s 2012 Omnibus Incentive Plan.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of September 30, 2025 and June 30, 2025, the Company had no outstanding borrowings on its bank line of credit facility.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were no purchases of common stock in the three months ended September 30, 2025 or 2024 under the Company’s stock repurchase program. </w:t>
      </w:r>
    </w:p>
    <w:p>
      <w:pPr>
        <w:pStyle w:val="TextBody"/>
        <w:bidi w:val="0"/>
        <w:spacing w:lineRule="auto" w:line="259"/>
        <w:rPr>
          <w:rFonts w:ascii="Times New Roman;serif" w:hAnsi="Times New Roman;serif"/>
          <w:b/>
          <w:i/>
          <w:sz w:val="20"/>
        </w:rPr>
      </w:pPr>
      <w:r>
        <w:rPr>
          <w:rFonts w:ascii="Times New Roman;serif" w:hAnsi="Times New Roman;serif"/>
          <w:b/>
          <w:i/>
          <w:sz w:val="20"/>
        </w:rPr>
        <w:t>Liquidity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believes its existing cash and cash equivalents, investments in short-term U.S. Treasury securities, cash provided by operating activities and available borrowings under its credit facility, if any, will be sufficient to meet its anticipated working capital, and capital expenditure requirements during the next twelve months. There can be no assurance, however, that the Company’s business will continue to generate cash flow at current levels. If the Company is unable to generate sufficient cash flow from operations, then it may be required to sell assets, reduce capital expenditures, or draw on its credit facilities. The Company regularly evaluates new product offerings, inventory levels and capital expenditures to ensure that it is effectively allocating resources in line with current market conditions.</w:t>
      </w:r>
    </w:p>
    <w:p>
      <w:pPr>
        <w:pStyle w:val="TextBody"/>
        <w:bidi w:val="0"/>
        <w:spacing w:lineRule="auto" w:line="259"/>
        <w:rPr>
          <w:rFonts w:ascii="Times New Roman;serif" w:hAnsi="Times New Roman;serif"/>
          <w:b/>
          <w:i/>
          <w:sz w:val="20"/>
        </w:rPr>
      </w:pPr>
      <w:r>
        <w:rPr>
          <w:rFonts w:ascii="Times New Roman;serif" w:hAnsi="Times New Roman;serif"/>
          <w:b/>
          <w:i/>
          <w:sz w:val="20"/>
        </w:rPr>
        <w:t>Credit Facility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May 14, 2019, the Company entered into a secured credit facility (“Credit Agreement”) with Town Bank (“Lender”). The Credit Agreement provides for a $5,000,000 revolving secured credit facility for letters of credit for the benefit of the Company of up to a sublimit of $1,000,000. There are no unused line fees in the credit facility. On January 28, 2021, the Credit Agreement was amended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change the interest rate to Wall Street Journal Prime less 1.50%. An amendment to the Credit Agreement effective October 30, 2024, extended the maturity date to October 31, 2026, and removed one of the covenants requiring submission of annual financial performance projections to the Lender. The Company and the Lender also entered into a General Business Security Agreement dated May 14, 2019 under which the Company granted the Lender a security interest in substantially all of the Company’s assets in connection with the Company’s obligations under the Credit Agreement. The Credit Agreement contains certain affirmative and negative covenants customary for financings of this type. The negative covenants include restrictions on other indebtedness, liens, fundamental changes, certain investments, disposition of assets, mergers and liquidations, among other restrictions. As of September 30, 2025, the Company was in compliance with all covenants related to the Credit Agreement. As of September 30, 2025 and June 30, 2025, there were no outstanding borrowings on the facility. </w:t>
      </w:r>
    </w:p>
    <w:p>
      <w:pPr>
        <w:pStyle w:val="TextBody"/>
        <w:bidi w:val="0"/>
        <w:spacing w:lineRule="auto" w:line="259"/>
        <w:rPr>
          <w:rFonts w:ascii="Times New Roman;serif" w:hAnsi="Times New Roman;serif"/>
          <w:b/>
          <w:i/>
          <w:sz w:val="20"/>
        </w:rPr>
      </w:pPr>
      <w:r>
        <w:rPr>
          <w:rFonts w:ascii="Times New Roman;serif" w:hAnsi="Times New Roman;serif"/>
          <w:b/>
          <w:i/>
          <w:sz w:val="20"/>
        </w:rPr>
        <w:t>Contractual Obligation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The Company leases its 126,000 square foot facility from Koss Holdings, LLC, which is controlled by five equal ownership interests in trusts held by the five beneficiaries of a former chairman’s revocable trust </w:t>
      </w:r>
      <w:r>
        <w:rPr>
          <w:rFonts w:ascii="Times New Roman;serif" w:hAnsi="Times New Roman;serif"/>
          <w:b w:val="false"/>
          <w:i w:val="false"/>
          <w:caps w:val="false"/>
          <w:smallCaps w:val="false"/>
          <w:sz w:val="20"/>
        </w:rPr>
        <w:t>and includes current stockholders of the Company</w:t>
      </w:r>
      <w:r>
        <w:rPr>
          <w:rFonts w:ascii="Times New Roman;serif" w:hAnsi="Times New Roman;serif"/>
          <w:b w:val="false"/>
          <w:i w:val="false"/>
          <w:caps w:val="false"/>
          <w:smallCaps w:val="false"/>
          <w:color w:val="000000"/>
          <w:sz w:val="20"/>
        </w:rPr>
        <w:t>. On May 24, 2022, the lease was renewed for a period of five years, ending June 30, 2028, and is being accounted for as an operating lease. The lease extension maintained the rent at a fixed rate of $380,000 per year. The Company has the option to renew the lease for an additional five years beginning July 1, 2028 and ending June 30, 2033 under the same terms and conditions except that the annual rent will increase to $397,000. The negotiated increase in rent slated for 2028 will be the first increase in rent since 1996. The Company is responsible for all property maintenance, insurance, taxes and other normal expenses related to ownership. The facility is in good repair and, in the opinion of management, is suitable and adequate for the Company’s business purposes.</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i/>
          <w:sz w:val="20"/>
        </w:rPr>
      </w:pPr>
      <w:r>
        <w:rPr>
          <w:rFonts w:ascii="Times New Roman;serif" w:hAnsi="Times New Roman;serif"/>
          <w:b/>
          <w:i/>
          <w:sz w:val="20"/>
        </w:rPr>
        <w:t>Critical Accounting Policies and Estimates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have been no significant changes in our critical accounting policies and estimates from the information we provided in our Annual Report on Form 10-K for the fiscal year ended June 30, 2025.</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Off-Balance Sheet Transactions</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At September 30, 2025, the Company did not have any transactions, obligations or relationships that could be considered off-balance sheet arrangements.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shd w:fill="FFFF00" w:val="clear"/>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Item 3.    Quantitative and Qualitative Disclosures About Market Risk</w:t>
      </w:r>
      <w:bookmarkStart w:id="16" w:name="Quantitative_Qualitative_Market_Risk"/>
      <w:bookmarkEnd w:id="16"/>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t>Item 4.</w:t>
      </w:r>
      <w:r>
        <w:rPr>
          <w:rFonts w:ascii="Times New Roman;serif" w:hAnsi="Times New Roman;serif"/>
          <w:caps w:val="false"/>
          <w:smallCaps w:val="false"/>
          <w:sz w:val="20"/>
        </w:rPr>
        <w:t>    </w:t>
      </w:r>
      <w:r>
        <w:rPr>
          <w:rFonts w:ascii="Times New Roman;serif" w:hAnsi="Times New Roman;serif"/>
          <w:b/>
          <w:i w:val="false"/>
          <w:caps w:val="false"/>
          <w:smallCaps w:val="false"/>
          <w:color w:val="000000"/>
          <w:sz w:val="20"/>
        </w:rPr>
        <w:t>Controls and Procedures</w:t>
      </w:r>
      <w:bookmarkStart w:id="17" w:name="Controls_Procedures"/>
      <w:bookmarkEnd w:id="17"/>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Disclosure Controls and Procedures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Disclosure controls and procedures (as defined in Rules 13a-15(e) and 15d-15(e)) of the Securities Exchange Act of 1934, as amended (the “Exchange Act”) are designed to ensure that: (1) information required to be disclosed in reports filed or submitted under the Exchange Act is recorded, processed, summarized and reported within the time periods specified in SEC rules and forms; and (2)  such information is accumulated and communicated to management, including the principal executive officer and principal financial officer, as appropriate to allow timely decisions regarding required disclosures. There are inherent limitations to the effectiveness of any system of disclosure controls and procedures, including the possibility of human error and the circumvention or overriding of controls and procedures. Accordingly, even effective disclosure controls and procedures can only provide reasonable assurance of achieving their control objectives.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management, including the Company’s Chief Executive Officer and Chief Financial Officer, evaluated the effectiveness of the design and operation of the Company’s disclosure controls and procedures (as defined in Rules 13a-15(e) and 15d-15(e) under the Exchange Act) as of September 30, 2025. The Company’s Chief Executive Officer and Chief Financial Officer have concluded that the Company’s disclosure controls and procedures as of September 30, 2025 were effective.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Changes in Internal Control Over Financial Reporting</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have been no changes in the Company’s internal control over financial reporting (as defined in Exchange Act Rules 13a–15(f) and 15d–15(f)) that occurred during the Company’s most recent fiscal quarter that have materially affected, or are reasonably likely to materially affect, the Company’s internal control over financial reporting.</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II</w:t>
      </w:r>
      <w:bookmarkStart w:id="18" w:name="Part2_OtherInformation"/>
      <w:bookmarkEnd w:id="18"/>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OTHER INFORMATION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t>Item 1.</w:t>
      </w:r>
      <w:r>
        <w:rPr>
          <w:rFonts w:ascii="Times New Roman;serif" w:hAnsi="Times New Roman;serif"/>
          <w:caps w:val="false"/>
          <w:smallCaps w:val="false"/>
          <w:sz w:val="20"/>
        </w:rPr>
        <w:t>   </w:t>
      </w:r>
      <w:r>
        <w:rPr>
          <w:rFonts w:ascii="Times New Roman;serif" w:hAnsi="Times New Roman;serif"/>
          <w:caps w:val="false"/>
          <w:smallCaps w:val="false"/>
          <w:color w:val="000000"/>
          <w:sz w:val="20"/>
        </w:rPr>
        <w:t> </w:t>
      </w:r>
      <w:r>
        <w:rPr>
          <w:rFonts w:ascii="Times New Roman;serif" w:hAnsi="Times New Roman;serif"/>
          <w:b/>
          <w:i w:val="false"/>
          <w:caps w:val="false"/>
          <w:smallCaps w:val="false"/>
          <w:color w:val="000000"/>
          <w:sz w:val="20"/>
        </w:rPr>
        <w:t>Legal Proceedings</w:t>
      </w:r>
      <w:bookmarkStart w:id="19" w:name="Legal_Proceedings"/>
      <w:bookmarkEnd w:id="19"/>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part of its intellectual property enforcement program, on July 22, 2020, the Company brought patent infringement suits against certain parties, including PEAG, LLC d/b/a jLab Audio and Skullcandy, Inc., alleging infringement of the Company’s patents relating to its wireless headphone technology and seeking monetary relief and attorneys’ fees. The lawsuits still unresolved are pending in U.S. District Courts in Southern District of California (PEAG, LLC) and District of Utah (Skullcandy, Inc.).</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September 2025, the Company resolved the matter with One-E-Way relating to One-E-Way’s claims that some of the Company’s wireless products may infringe on certain One-E-Way patents. The Company resolved this matter at a cost of $22,200 which had been fully accrued for in the Company’s Consolidated Financial Statements at June 30, 2025.</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t>Item 1A.</w:t>
      </w:r>
      <w:r>
        <w:rPr>
          <w:rFonts w:ascii="Times New Roman;serif" w:hAnsi="Times New Roman;serif"/>
          <w:caps w:val="false"/>
          <w:smallCaps w:val="false"/>
          <w:sz w:val="20"/>
        </w:rPr>
        <w:t>   </w:t>
      </w:r>
      <w:r>
        <w:rPr>
          <w:rFonts w:ascii="Times New Roman;serif" w:hAnsi="Times New Roman;serif"/>
          <w:caps w:val="false"/>
          <w:smallCaps w:val="false"/>
          <w:color w:val="000000"/>
          <w:sz w:val="20"/>
        </w:rPr>
        <w:t> </w:t>
      </w:r>
      <w:bookmarkStart w:id="20" w:name="RiskFactors"/>
      <w:bookmarkEnd w:id="20"/>
      <w:r>
        <w:rPr>
          <w:rFonts w:ascii="Times New Roman;serif" w:hAnsi="Times New Roman;serif"/>
          <w:b/>
          <w:i w:val="false"/>
          <w:caps w:val="false"/>
          <w:smallCaps w:val="false"/>
          <w:color w:val="000000"/>
          <w:sz w:val="20"/>
        </w:rPr>
        <w:t>Risk Factors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addition to the other information set forth in this report, you should carefully consider the factors discussed in Part 1. Item 1A, “Risk Factors” in our Annual Report on Form 10-K for the fiscal year ended June 30, 2025, as filed with the Securities and Exchange Commission on August 29, 2025.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report. There have been no material changes to the risk factors described under “Risk Factors,” included in our Annual Report on Form 10-K for the fiscal year ended June 30, 2025.</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Item 2.    Unregistered Sales of Equity Securities and Use of Proceeds</w:t>
      </w:r>
      <w:bookmarkStart w:id="21" w:name="Unregisterd_Equity_Securities"/>
      <w:bookmarkEnd w:id="21"/>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presents information with respect to purchases of common stock of the Company made during the three months ended September 30, 2025, by the Company.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COMPANY REPURCHASES OF EQUITY SECURITIES</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2"/>
        <w:gridCol w:w="109"/>
        <w:gridCol w:w="991"/>
        <w:gridCol w:w="109"/>
        <w:gridCol w:w="355"/>
        <w:gridCol w:w="584"/>
        <w:gridCol w:w="109"/>
        <w:gridCol w:w="2604"/>
        <w:gridCol w:w="109"/>
        <w:gridCol w:w="511"/>
        <w:gridCol w:w="2382"/>
      </w:tblGrid>
      <w:tr>
        <w:trPr/>
        <w:tc>
          <w:tcPr>
            <w:tcW w:w="2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r>
      <w:tr>
        <w:trPr/>
        <w:tc>
          <w:tcPr>
            <w:tcW w:w="2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Total # of </w:t>
              <w:br/>
              <w:t>‎Shares</w:t>
              <w:br/>
              <w:t>‎Purchased</w:t>
            </w:r>
          </w:p>
        </w:tc>
        <w:tc>
          <w:tcPr>
            <w:tcW w:w="109" w:type="dxa"/>
            <w:tcBorders/>
            <w:vAlign w:val="center"/>
          </w:tcPr>
          <w:p>
            <w:pPr>
              <w:pStyle w:val="TableContents"/>
              <w:bidi w:val="0"/>
              <w:spacing w:before="0" w:after="283"/>
              <w:jc w:val="left"/>
              <w:rPr>
                <w:sz w:val="4"/>
                <w:szCs w:val="4"/>
              </w:rPr>
            </w:pPr>
            <w:r>
              <w:rPr>
                <w:sz w:val="4"/>
                <w:szCs w:val="4"/>
              </w:rPr>
            </w:r>
          </w:p>
        </w:tc>
        <w:tc>
          <w:tcPr>
            <w:tcW w:w="939"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Average</w:t>
              <w:br/>
              <w:t>‎Price Paid</w:t>
              <w:br/>
              <w:t>‎per Share</w:t>
            </w:r>
          </w:p>
        </w:tc>
        <w:tc>
          <w:tcPr>
            <w:tcW w:w="109" w:type="dxa"/>
            <w:tcBorders/>
            <w:vAlign w:val="center"/>
          </w:tcPr>
          <w:p>
            <w:pPr>
              <w:pStyle w:val="TableContents"/>
              <w:bidi w:val="0"/>
              <w:spacing w:before="0" w:after="283"/>
              <w:jc w:val="left"/>
              <w:rPr>
                <w:sz w:val="4"/>
                <w:szCs w:val="4"/>
              </w:rPr>
            </w:pPr>
            <w:r>
              <w:rPr>
                <w:sz w:val="4"/>
                <w:szCs w:val="4"/>
              </w:rPr>
            </w:r>
          </w:p>
        </w:tc>
        <w:tc>
          <w:tcPr>
            <w:tcW w:w="260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Number of Shares Purchased as</w:t>
              <w:br/>
              <w:t>‎Part of Publicly Announced Plan (1)</w:t>
            </w:r>
          </w:p>
        </w:tc>
        <w:tc>
          <w:tcPr>
            <w:tcW w:w="109" w:type="dxa"/>
            <w:tcBorders/>
            <w:vAlign w:val="center"/>
          </w:tcPr>
          <w:p>
            <w:pPr>
              <w:pStyle w:val="TableContents"/>
              <w:bidi w:val="0"/>
              <w:spacing w:before="0" w:after="283"/>
              <w:jc w:val="left"/>
              <w:rPr>
                <w:sz w:val="4"/>
                <w:szCs w:val="4"/>
              </w:rPr>
            </w:pPr>
            <w:r>
              <w:rPr>
                <w:sz w:val="4"/>
                <w:szCs w:val="4"/>
              </w:rPr>
            </w:r>
          </w:p>
        </w:tc>
        <w:tc>
          <w:tcPr>
            <w:tcW w:w="2893"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Approximate Dollar Value of</w:t>
              <w:br/>
              <w:t>‎Shares Available under Repurchase Plan</w:t>
            </w:r>
          </w:p>
        </w:tc>
      </w:tr>
      <w:tr>
        <w:trPr/>
        <w:tc>
          <w:tcPr>
            <w:tcW w:w="234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July 1 - July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84"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04"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38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2,139,753</w:t>
            </w:r>
          </w:p>
        </w:tc>
      </w:tr>
      <w:tr>
        <w:trPr/>
        <w:tc>
          <w:tcPr>
            <w:tcW w:w="234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August 1 - August 31, 2025</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84"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38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2,139,753</w:t>
            </w:r>
          </w:p>
        </w:tc>
      </w:tr>
      <w:tr>
        <w:trPr/>
        <w:tc>
          <w:tcPr>
            <w:tcW w:w="234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September 1 - September 30,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5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84"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04"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3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2,139,753</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(1)In April of 1995, the Board of Directors approved a stock repurchase program authorizing the Company to purchase from time to time up to $2,000,000 of its common stock for its own account. Subsequently, the Board of Directors periodically has approved increases in the stock repurchase program. The most recent increase was for an additional $2,000,000 in October 2006, for a maximum of $45,500,000 of which $43,360,247 had been expended through September 30, 2025.</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t>Item 6.</w:t>
      </w:r>
      <w:r>
        <w:rPr>
          <w:rFonts w:ascii="Times New Roman;serif" w:hAnsi="Times New Roman;serif"/>
          <w:caps w:val="false"/>
          <w:smallCaps w:val="false"/>
          <w:sz w:val="20"/>
        </w:rPr>
        <w:t>    </w:t>
      </w:r>
      <w:r>
        <w:rPr>
          <w:rFonts w:ascii="Times New Roman;serif" w:hAnsi="Times New Roman;serif"/>
          <w:b/>
          <w:i w:val="false"/>
          <w:caps w:val="false"/>
          <w:smallCaps w:val="false"/>
          <w:color w:val="000000"/>
          <w:sz w:val="20"/>
        </w:rPr>
        <w:t>Exhibits</w:t>
      </w:r>
      <w:bookmarkStart w:id="22" w:name="Exhibits"/>
      <w:bookmarkEnd w:id="22"/>
    </w:p>
    <w:tbl>
      <w:tblPr>
        <w:tblW w:w="10205" w:type="dxa"/>
        <w:jc w:val="left"/>
        <w:tblInd w:w="0" w:type="dxa"/>
        <w:tblLayout w:type="fixed"/>
        <w:tblCellMar>
          <w:top w:w="0" w:type="dxa"/>
          <w:left w:w="0" w:type="dxa"/>
          <w:bottom w:w="0" w:type="dxa"/>
          <w:right w:w="0" w:type="dxa"/>
        </w:tblCellMar>
      </w:tblPr>
      <w:tblGrid>
        <w:gridCol w:w="1081"/>
        <w:gridCol w:w="9124"/>
      </w:tblGrid>
      <w:tr>
        <w:trPr/>
        <w:tc>
          <w:tcPr>
            <w:tcW w:w="1081" w:type="dxa"/>
            <w:tcBorders/>
            <w:vAlign w:val="center"/>
          </w:tcPr>
          <w:p>
            <w:pPr>
              <w:pStyle w:val="TableContents"/>
              <w:bidi w:val="0"/>
              <w:spacing w:before="0" w:after="283"/>
              <w:jc w:val="left"/>
              <w:rPr>
                <w:sz w:val="4"/>
                <w:szCs w:val="4"/>
              </w:rPr>
            </w:pPr>
            <w:r>
              <w:rPr>
                <w:sz w:val="4"/>
                <w:szCs w:val="4"/>
              </w:rPr>
            </w:r>
          </w:p>
        </w:tc>
        <w:tc>
          <w:tcPr>
            <w:tcW w:w="9124"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Exhibit No.</w:t>
            </w:r>
          </w:p>
        </w:tc>
        <w:tc>
          <w:tcPr>
            <w:tcW w:w="912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Exhibit Description</w:t>
            </w:r>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w:t>
            </w:r>
          </w:p>
        </w:tc>
        <w:tc>
          <w:tcPr>
            <w:tcW w:w="9124" w:type="dxa"/>
            <w:tcBorders/>
            <w:shd w:fill="CCEEFF" w:val="clear"/>
            <w:vAlign w:val="center"/>
          </w:tcPr>
          <w:p>
            <w:pPr>
              <w:pStyle w:val="TableContents"/>
              <w:bidi w:val="0"/>
              <w:spacing w:lineRule="auto" w:line="259" w:before="0" w:after="283"/>
              <w:jc w:val="left"/>
              <w:rPr/>
            </w:pPr>
            <w:hyperlink r:id="rId2">
              <w:r>
                <w:rPr>
                  <w:rStyle w:val="InternetLink"/>
                  <w:rFonts w:ascii="Times New Roman;serif" w:hAnsi="Times New Roman;serif"/>
                  <w:b w:val="false"/>
                  <w:i w:val="false"/>
                  <w:caps w:val="false"/>
                  <w:smallCaps w:val="false"/>
                  <w:color w:val="0000FF"/>
                  <w:sz w:val="20"/>
                  <w:u w:val="single"/>
                </w:rPr>
                <w:t>Amended and Restated Certificate of Incorporation of Koss Corporation, as in effect on November 19, 2009. Filed as Exhibit 3.1 to the Company’s Quarterly Report on Form 10-Q for the period ended December 31, 2009 and incorporated herein by reference.</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w:t>
            </w:r>
          </w:p>
        </w:tc>
        <w:tc>
          <w:tcPr>
            <w:tcW w:w="9124" w:type="dxa"/>
            <w:tcBorders/>
            <w:vAlign w:val="center"/>
          </w:tcPr>
          <w:p>
            <w:pPr>
              <w:pStyle w:val="TableContents"/>
              <w:bidi w:val="0"/>
              <w:spacing w:lineRule="auto" w:line="259" w:before="0" w:after="283"/>
              <w:jc w:val="left"/>
              <w:rPr/>
            </w:pPr>
            <w:hyperlink r:id="rId3">
              <w:r>
                <w:rPr>
                  <w:rStyle w:val="InternetLink"/>
                  <w:rFonts w:ascii="Times New Roman;serif" w:hAnsi="Times New Roman;serif"/>
                  <w:b w:val="false"/>
                  <w:i w:val="false"/>
                  <w:caps w:val="false"/>
                  <w:smallCaps w:val="false"/>
                  <w:color w:val="0000FF"/>
                  <w:sz w:val="20"/>
                  <w:u w:val="single"/>
                </w:rPr>
                <w:t>By-Laws of Koss Corporation. Filed as Exhibit 3.2 to the Company’s Annual Report on Form 10-K for the year ended June 30, 1996 and incorporated herein by reference.</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w:t>
            </w:r>
          </w:p>
        </w:tc>
        <w:tc>
          <w:tcPr>
            <w:tcW w:w="9124" w:type="dxa"/>
            <w:tcBorders/>
            <w:shd w:fill="CCEEFF" w:val="clear"/>
            <w:vAlign w:val="center"/>
          </w:tcPr>
          <w:p>
            <w:pPr>
              <w:pStyle w:val="TableContents"/>
              <w:bidi w:val="0"/>
              <w:spacing w:lineRule="auto" w:line="259" w:before="0" w:after="283"/>
              <w:jc w:val="left"/>
              <w:rPr/>
            </w:pPr>
            <w:hyperlink r:id="rId4">
              <w:r>
                <w:rPr>
                  <w:rStyle w:val="InternetLink"/>
                  <w:rFonts w:ascii="Times New Roman;serif" w:hAnsi="Times New Roman;serif"/>
                  <w:b w:val="false"/>
                  <w:i w:val="false"/>
                  <w:caps w:val="false"/>
                  <w:smallCaps w:val="false"/>
                  <w:color w:val="0000FF"/>
                  <w:sz w:val="20"/>
                  <w:u w:val="single"/>
                </w:rPr>
                <w:t>Amendment to the By-Laws of Koss Corporation. Filed as Exhibit 3.3 to the Company’s Current Report on Form 8-K on March 7, 2006 and incorporated herein by reference.</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w:t>
            </w:r>
          </w:p>
        </w:tc>
        <w:tc>
          <w:tcPr>
            <w:tcW w:w="9124" w:type="dxa"/>
            <w:tcBorders/>
            <w:vAlign w:val="center"/>
          </w:tcPr>
          <w:p>
            <w:pPr>
              <w:pStyle w:val="TableContents"/>
              <w:bidi w:val="0"/>
              <w:spacing w:lineRule="auto" w:line="259" w:before="0" w:after="283"/>
              <w:jc w:val="left"/>
              <w:rPr/>
            </w:pPr>
            <w:hyperlink r:id="rId5">
              <w:r>
                <w:rPr>
                  <w:rStyle w:val="InternetLink"/>
                  <w:rFonts w:ascii="Times New Roman;serif" w:hAnsi="Times New Roman;serif"/>
                  <w:b w:val="false"/>
                  <w:i w:val="false"/>
                  <w:caps w:val="false"/>
                  <w:smallCaps w:val="false"/>
                  <w:color w:val="0000FF"/>
                  <w:sz w:val="20"/>
                  <w:u w:val="single"/>
                </w:rPr>
                <w:t>Amendment to the By-Laws of Koss Corporation. Filed as Exhibit 3.4 to the Company’s Annual Report on Form 10-K on August 27, 2020 and incorporated herein by reference.</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31.1</w:t>
            </w:r>
          </w:p>
        </w:tc>
        <w:tc>
          <w:tcPr>
            <w:tcW w:w="9124" w:type="dxa"/>
            <w:tcBorders/>
            <w:shd w:fill="CCEEFF" w:val="clear"/>
            <w:vAlign w:val="center"/>
          </w:tcPr>
          <w:p>
            <w:pPr>
              <w:pStyle w:val="TableContents"/>
              <w:bidi w:val="0"/>
              <w:spacing w:lineRule="auto" w:line="259" w:before="0" w:after="283"/>
              <w:jc w:val="left"/>
              <w:rPr/>
            </w:pPr>
            <w:hyperlink w:anchor="koss-20250930xex31_1.htm">
              <w:r>
                <w:rPr>
                  <w:rStyle w:val="InternetLink"/>
                  <w:rFonts w:ascii="Times New Roman;serif" w:hAnsi="Times New Roman;serif"/>
                  <w:b w:val="false"/>
                  <w:i w:val="false"/>
                  <w:caps w:val="false"/>
                  <w:smallCaps w:val="false"/>
                  <w:color w:val="0000FF"/>
                  <w:sz w:val="20"/>
                  <w:u w:val="single"/>
                </w:rPr>
                <w:t>Rule 13a-14(a)/15d-14(a) Certification of Chief Executive Officer **</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31.2</w:t>
            </w:r>
          </w:p>
        </w:tc>
        <w:tc>
          <w:tcPr>
            <w:tcW w:w="9124" w:type="dxa"/>
            <w:tcBorders/>
            <w:vAlign w:val="center"/>
          </w:tcPr>
          <w:p>
            <w:pPr>
              <w:pStyle w:val="TableContents"/>
              <w:bidi w:val="0"/>
              <w:spacing w:lineRule="auto" w:line="259" w:before="0" w:after="283"/>
              <w:jc w:val="left"/>
              <w:rPr/>
            </w:pPr>
            <w:hyperlink w:anchor="koss-20250930xex31_2.htm">
              <w:r>
                <w:rPr>
                  <w:rStyle w:val="InternetLink"/>
                  <w:rFonts w:ascii="Times New Roman;serif" w:hAnsi="Times New Roman;serif"/>
                  <w:b w:val="false"/>
                  <w:i w:val="false"/>
                  <w:caps w:val="false"/>
                  <w:smallCaps w:val="false"/>
                  <w:color w:val="0000FF"/>
                  <w:sz w:val="20"/>
                  <w:u w:val="single"/>
                </w:rPr>
                <w:t>Rule 13a-14(a)/15d-14(a) Certification of Chief Financial Officer **</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32.1</w:t>
            </w:r>
          </w:p>
        </w:tc>
        <w:tc>
          <w:tcPr>
            <w:tcW w:w="9124" w:type="dxa"/>
            <w:tcBorders/>
            <w:shd w:fill="CCEEFF" w:val="clear"/>
            <w:vAlign w:val="center"/>
          </w:tcPr>
          <w:p>
            <w:pPr>
              <w:pStyle w:val="TableContents"/>
              <w:bidi w:val="0"/>
              <w:spacing w:lineRule="auto" w:line="259" w:before="0" w:after="283"/>
              <w:jc w:val="left"/>
              <w:rPr/>
            </w:pPr>
            <w:hyperlink w:anchor="koss-20250930xex32_1.htm">
              <w:r>
                <w:rPr>
                  <w:rStyle w:val="InternetLink"/>
                  <w:rFonts w:ascii="Times New Roman;serif" w:hAnsi="Times New Roman;serif"/>
                  <w:b w:val="false"/>
                  <w:i w:val="false"/>
                  <w:caps w:val="false"/>
                  <w:smallCaps w:val="false"/>
                  <w:color w:val="0000FF"/>
                  <w:sz w:val="20"/>
                  <w:u w:val="single"/>
                </w:rPr>
                <w:t>Certification of Michael Koss, Chief Executive Officer, pursuant to 18 U.S.C. Section 1350 as adopted pursuant to Section 906 of the Sarbanes-Oxley Act of 2002 ***</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32.2</w:t>
            </w:r>
          </w:p>
        </w:tc>
        <w:tc>
          <w:tcPr>
            <w:tcW w:w="9124" w:type="dxa"/>
            <w:tcBorders/>
            <w:vAlign w:val="center"/>
          </w:tcPr>
          <w:p>
            <w:pPr>
              <w:pStyle w:val="TableContents"/>
              <w:bidi w:val="0"/>
              <w:spacing w:lineRule="auto" w:line="259" w:before="0" w:after="283"/>
              <w:jc w:val="left"/>
              <w:rPr/>
            </w:pPr>
            <w:hyperlink w:anchor="koss-20250930xex32_2.htm">
              <w:r>
                <w:rPr>
                  <w:rStyle w:val="InternetLink"/>
                  <w:rFonts w:ascii="Times New Roman;serif" w:hAnsi="Times New Roman;serif"/>
                  <w:b w:val="false"/>
                  <w:i w:val="false"/>
                  <w:caps w:val="false"/>
                  <w:smallCaps w:val="false"/>
                  <w:color w:val="0000FF"/>
                  <w:sz w:val="20"/>
                  <w:u w:val="single"/>
                </w:rPr>
                <w:t>Certification of Kim Schulte, Chief Financial Officer, pursuant to 18 U.S.C. Section 1350 as adopted pursuant to Section 906 of the Sarbanes-Oxley Act of 2002 ***</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w:t>
            </w:r>
          </w:p>
        </w:tc>
        <w:tc>
          <w:tcPr>
            <w:tcW w:w="912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following financial information from Koss Corporation's Quarterly Report on Form 10-Q for the quarter ended September 30, 2025, formatted in XBRL (eXtensible Business Reporting Language): (i) Condensed Consolidated Balance Sheets as of September 30, 2025 and June 30, 2025, (ii) Condensed Consolidated Statements of Operations (Unaudited) for the three months ended September 30, 2025 and 2024 (iii) Condensed Consolidated Statements of Cash Flows (Unaudited) for the three months ended September 30, 2025 and 2024, (iv) Condensed Consolidated Statements of Stockholders' Equity (Unaudited) for the three months ended September 30, 2025 and 2024 and (v) the Notes to Condensed Consolidated Financial Statements (Unaudited).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__________________________</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*Denotes a management contract or compensatory plan or agreement</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**Filed herewith</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Furnished herewith. 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SIGNATURES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and Exchange Act of 1934, the registrant has duly caused this report to be signed on its behalf by the undersigned thereunto duly authorized.</w:t>
      </w:r>
    </w:p>
    <w:p>
      <w:pPr>
        <w:pStyle w:val="TextBody"/>
        <w:bidi w:val="0"/>
        <w:spacing w:lineRule="auto" w:line="259"/>
        <w:rPr>
          <w:caps w:val="false"/>
          <w:smallCaps w:val="false"/>
        </w:rPr>
      </w:pPr>
      <w:r>
        <w:rPr>
          <w:caps w:val="false"/>
          <w:smallCaps w:val="false"/>
        </w:rPr>
        <w:t> </w:t>
      </w:r>
    </w:p>
    <w:tbl>
      <w:tblPr>
        <w:tblW w:w="4131" w:type="dxa"/>
        <w:jc w:val="left"/>
        <w:tblInd w:w="0" w:type="dxa"/>
        <w:tblLayout w:type="fixed"/>
        <w:tblCellMar>
          <w:top w:w="0" w:type="dxa"/>
          <w:left w:w="0" w:type="dxa"/>
          <w:bottom w:w="0" w:type="dxa"/>
          <w:right w:w="0" w:type="dxa"/>
        </w:tblCellMar>
      </w:tblPr>
      <w:tblGrid>
        <w:gridCol w:w="2461"/>
        <w:gridCol w:w="109"/>
        <w:gridCol w:w="1561"/>
      </w:tblGrid>
      <w:tr>
        <w:trPr/>
        <w:tc>
          <w:tcPr>
            <w:tcW w:w="2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4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KOSS CORPORATION</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46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46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Michael J. Koss</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October 31, 2025</w:t>
            </w:r>
          </w:p>
        </w:tc>
      </w:tr>
      <w:tr>
        <w:trPr/>
        <w:tc>
          <w:tcPr>
            <w:tcW w:w="24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Michael J. Koss</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4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Chairman</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4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Chief Executive Officer</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46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46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Kim M. Schulte</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October 31, 2025</w:t>
            </w:r>
          </w:p>
        </w:tc>
      </w:tr>
      <w:tr>
        <w:trPr/>
        <w:tc>
          <w:tcPr>
            <w:tcW w:w="24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Kim M. Schulte</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4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Chief Financial Officer</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4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Principal Accounting Officer</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TextBody"/>
        <w:bidi w:val="0"/>
        <w:spacing w:lineRule="auto" w:line="240" w:before="0" w:after="0"/>
        <w:ind w:left="720" w:right="720" w:hanging="0"/>
        <w:jc w:val="right"/>
        <w:rPr>
          <w:rFonts w:ascii="Times New Roman" w:hAnsi="Times New Roman"/>
          <w:sz w:val="20"/>
        </w:rPr>
      </w:pPr>
      <w:bookmarkStart w:id="23" w:name="koss-20250930xex31_1.htm"/>
      <w:bookmarkStart w:id="24" w:name="kskoss20250930xex31_1"/>
      <w:bookmarkEnd w:id="23"/>
      <w:bookmarkEnd w:id="24"/>
      <w:r>
        <w:rPr>
          <w:rFonts w:ascii="Times New Roman" w:hAnsi="Times New Roman"/>
          <w:b/>
          <w:sz w:val="20"/>
        </w:rPr>
        <w:t>Exhibit 31.1</w:t>
      </w:r>
      <w:r>
        <w:rPr>
          <w:rFonts w:ascii="Times New Roman" w:hAnsi="Times New Roman"/>
          <w:sz w:val="20"/>
        </w:rPr>
        <w:t xml:space="preserve"> </w:t>
      </w:r>
      <w:r>
        <w:br w:type="page"/>
      </w:r>
    </w:p>
    <w:p>
      <w:pPr>
        <w:pStyle w:val="TextBody"/>
        <w:bidi w:val="0"/>
        <w:spacing w:lineRule="auto" w:line="240" w:before="0" w:after="0"/>
        <w:ind w:left="720" w:right="720" w:hanging="0"/>
        <w:jc w:val="right"/>
        <w:rPr/>
      </w:pPr>
      <w:r>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Certification of Chief Executive Officer </w:t>
      </w:r>
      <w:r>
        <w:rPr>
          <w:rFonts w:ascii="Times New Roman" w:hAnsi="Times New Roman"/>
          <w:sz w:val="20"/>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Pursuant to Section 302 of the Sarbanes-Oxley Act of 2002</w:t>
      </w:r>
      <w:r>
        <w:rPr>
          <w:rFonts w:ascii="Times New Roman" w:hAnsi="Times New Roman"/>
          <w:sz w:val="20"/>
        </w:rPr>
        <w:t xml:space="preserve"> </w:t>
      </w:r>
    </w:p>
    <w:p>
      <w:pPr>
        <w:pStyle w:val="TextBody"/>
        <w:bidi w:val="0"/>
        <w:spacing w:lineRule="auto" w:line="240" w:before="0" w:after="0"/>
        <w:ind w:left="864" w:right="864" w:hanging="0"/>
        <w:jc w:val="center"/>
        <w:rPr/>
      </w:pPr>
      <w:r>
        <w:rPr/>
        <w:t xml:space="preserve">  </w:t>
      </w:r>
    </w:p>
    <w:p>
      <w:pPr>
        <w:pStyle w:val="TextBody"/>
        <w:bidi w:val="0"/>
        <w:spacing w:lineRule="auto" w:line="240" w:before="0" w:after="240"/>
        <w:ind w:left="864" w:right="864" w:hanging="0"/>
        <w:jc w:val="left"/>
        <w:rPr>
          <w:rFonts w:ascii="Times New Roman" w:hAnsi="Times New Roman"/>
          <w:sz w:val="20"/>
        </w:rPr>
      </w:pPr>
      <w:r>
        <w:rPr>
          <w:rFonts w:ascii="Times New Roman" w:hAnsi="Times New Roman"/>
          <w:sz w:val="20"/>
        </w:rPr>
        <w:t xml:space="preserve">I, Michael J. Koss, certify that: </w:t>
      </w:r>
    </w:p>
    <w:tbl>
      <w:tblPr>
        <w:tblW w:w="6578" w:type="dxa"/>
        <w:jc w:val="left"/>
        <w:tblInd w:w="720" w:type="dxa"/>
        <w:tblLayout w:type="fixed"/>
        <w:tblCellMar>
          <w:top w:w="0" w:type="dxa"/>
          <w:left w:w="0" w:type="dxa"/>
          <w:bottom w:w="0" w:type="dxa"/>
          <w:right w:w="0" w:type="dxa"/>
        </w:tblCellMar>
      </w:tblPr>
      <w:tblGrid>
        <w:gridCol w:w="38"/>
        <w:gridCol w:w="503"/>
        <w:gridCol w:w="23"/>
        <w:gridCol w:w="6014"/>
      </w:tblGrid>
      <w:tr>
        <w:trPr/>
        <w:tc>
          <w:tcPr>
            <w:tcW w:w="38" w:type="dxa"/>
            <w:tcBorders/>
            <w:vAlign w:val="center"/>
          </w:tcPr>
          <w:p>
            <w:pPr>
              <w:pStyle w:val="TableContents"/>
              <w:bidi w:val="0"/>
              <w:spacing w:before="0" w:after="283"/>
              <w:jc w:val="left"/>
              <w:rPr>
                <w:sz w:val="4"/>
                <w:szCs w:val="4"/>
              </w:rPr>
            </w:pPr>
            <w:r>
              <w:rPr>
                <w:sz w:val="4"/>
                <w:szCs w:val="4"/>
              </w:rPr>
            </w:r>
          </w:p>
        </w:tc>
        <w:tc>
          <w:tcPr>
            <w:tcW w:w="503"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sz w:val="20"/>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6014" w:type="dxa"/>
            <w:tcBorders/>
          </w:tcPr>
          <w:p>
            <w:pPr>
              <w:pStyle w:val="TableContents"/>
              <w:bidi w:val="0"/>
              <w:spacing w:lineRule="auto" w:line="240" w:before="0" w:after="240"/>
              <w:ind w:left="0" w:right="144" w:hanging="0"/>
              <w:jc w:val="left"/>
              <w:rPr>
                <w:rFonts w:ascii="Times New Roman" w:hAnsi="Times New Roman"/>
                <w:color w:val="000000"/>
                <w:sz w:val="20"/>
              </w:rPr>
            </w:pPr>
            <w:r>
              <w:rPr>
                <w:rFonts w:ascii="Times New Roman" w:hAnsi="Times New Roman"/>
                <w:color w:val="000000"/>
                <w:sz w:val="20"/>
              </w:rPr>
              <w:t>I have reviewed this quarterly report on Form 10-Q of Koss Corporation;</w:t>
            </w:r>
          </w:p>
        </w:tc>
      </w:tr>
    </w:tbl>
    <w:tbl>
      <w:tblPr>
        <w:tblW w:w="8765" w:type="dxa"/>
        <w:jc w:val="left"/>
        <w:tblInd w:w="720" w:type="dxa"/>
        <w:tblLayout w:type="fixed"/>
        <w:tblCellMar>
          <w:top w:w="0" w:type="dxa"/>
          <w:left w:w="0" w:type="dxa"/>
          <w:bottom w:w="0" w:type="dxa"/>
          <w:right w:w="0" w:type="dxa"/>
        </w:tblCellMar>
      </w:tblPr>
      <w:tblGrid>
        <w:gridCol w:w="38"/>
        <w:gridCol w:w="440"/>
        <w:gridCol w:w="23"/>
        <w:gridCol w:w="8264"/>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sz w:val="20"/>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8264" w:type="dxa"/>
            <w:tcBorders/>
          </w:tcPr>
          <w:p>
            <w:pPr>
              <w:pStyle w:val="TableContents"/>
              <w:bidi w:val="0"/>
              <w:spacing w:lineRule="auto" w:line="240" w:before="0" w:after="240"/>
              <w:ind w:left="0" w:right="144" w:hanging="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8765" w:type="dxa"/>
        <w:jc w:val="left"/>
        <w:tblInd w:w="720" w:type="dxa"/>
        <w:tblLayout w:type="fixed"/>
        <w:tblCellMar>
          <w:top w:w="0" w:type="dxa"/>
          <w:left w:w="0" w:type="dxa"/>
          <w:bottom w:w="0" w:type="dxa"/>
          <w:right w:w="0" w:type="dxa"/>
        </w:tblCellMar>
      </w:tblPr>
      <w:tblGrid>
        <w:gridCol w:w="38"/>
        <w:gridCol w:w="442"/>
        <w:gridCol w:w="23"/>
        <w:gridCol w:w="8262"/>
      </w:tblGrid>
      <w:tr>
        <w:trPr/>
        <w:tc>
          <w:tcPr>
            <w:tcW w:w="38" w:type="dxa"/>
            <w:tcBorders/>
            <w:vAlign w:val="center"/>
          </w:tcPr>
          <w:p>
            <w:pPr>
              <w:pStyle w:val="TableContents"/>
              <w:bidi w:val="0"/>
              <w:spacing w:before="0" w:after="283"/>
              <w:jc w:val="left"/>
              <w:rPr>
                <w:sz w:val="4"/>
                <w:szCs w:val="4"/>
              </w:rPr>
            </w:pPr>
            <w:r>
              <w:rPr>
                <w:sz w:val="4"/>
                <w:szCs w:val="4"/>
              </w:rPr>
            </w:r>
          </w:p>
        </w:tc>
        <w:tc>
          <w:tcPr>
            <w:tcW w:w="442"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sz w:val="20"/>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8262" w:type="dxa"/>
            <w:tcBorders/>
          </w:tcPr>
          <w:p>
            <w:pPr>
              <w:pStyle w:val="TableContents"/>
              <w:bidi w:val="0"/>
              <w:spacing w:lineRule="auto" w:line="240" w:before="0" w:after="240"/>
              <w:ind w:left="0" w:right="144" w:hanging="0"/>
              <w:jc w:val="left"/>
              <w:rPr>
                <w:rFonts w:ascii="Times New Roman" w:hAnsi="Times New Roman"/>
                <w:color w:val="000000"/>
                <w:sz w:val="20"/>
              </w:rPr>
            </w:pPr>
            <w:r>
              <w:rPr>
                <w:rFonts w:ascii="Times New Roman" w:hAnsi="Times New Roman"/>
                <w:color w:val="000000"/>
                <w:sz w:val="20"/>
              </w:rPr>
              <w:t>Based on my knowledge, the condensed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8765" w:type="dxa"/>
        <w:jc w:val="left"/>
        <w:tblInd w:w="720" w:type="dxa"/>
        <w:tblLayout w:type="fixed"/>
        <w:tblCellMar>
          <w:top w:w="0" w:type="dxa"/>
          <w:left w:w="0" w:type="dxa"/>
          <w:bottom w:w="0" w:type="dxa"/>
          <w:right w:w="0" w:type="dxa"/>
        </w:tblCellMar>
      </w:tblPr>
      <w:tblGrid>
        <w:gridCol w:w="38"/>
        <w:gridCol w:w="438"/>
        <w:gridCol w:w="23"/>
        <w:gridCol w:w="8266"/>
      </w:tblGrid>
      <w:tr>
        <w:trPr/>
        <w:tc>
          <w:tcPr>
            <w:tcW w:w="38" w:type="dxa"/>
            <w:tcBorders/>
            <w:vAlign w:val="center"/>
          </w:tcPr>
          <w:p>
            <w:pPr>
              <w:pStyle w:val="TableContents"/>
              <w:bidi w:val="0"/>
              <w:spacing w:before="0" w:after="283"/>
              <w:jc w:val="left"/>
              <w:rPr>
                <w:sz w:val="4"/>
                <w:szCs w:val="4"/>
              </w:rPr>
            </w:pPr>
            <w:r>
              <w:rPr>
                <w:sz w:val="4"/>
                <w:szCs w:val="4"/>
              </w:rPr>
            </w:r>
          </w:p>
        </w:tc>
        <w:tc>
          <w:tcPr>
            <w:tcW w:w="438"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sz w:val="20"/>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8266" w:type="dxa"/>
            <w:tcBorders/>
          </w:tcPr>
          <w:p>
            <w:pPr>
              <w:pStyle w:val="TableContents"/>
              <w:bidi w:val="0"/>
              <w:spacing w:lineRule="auto" w:line="240" w:before="0" w:after="240"/>
              <w:ind w:left="0" w:right="144" w:hanging="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240"/>
        <w:ind w:left="1944" w:right="864" w:hanging="360"/>
        <w:jc w:val="left"/>
        <w:rPr>
          <w:rFonts w:ascii="Times New Roman" w:hAnsi="Times New Roman"/>
          <w:sz w:val="20"/>
        </w:rPr>
      </w:pPr>
      <w:r>
        <w:rPr>
          <w:rFonts w:ascii="Times New Roman" w:hAnsi="Times New Roman"/>
          <w:color w:val="000000"/>
          <w:sz w:val="20"/>
        </w:rPr>
        <w:t>a)    designed such disclosure controls and procedures, or caused such disclosure controls and procedures to be designed under my supervision, to ensure that material information relating to the registrant, including its subsidiary, is made known to me by others within those entities, particularly during the period in which this report is being prepared;</w:t>
      </w:r>
      <w:r>
        <w:rPr>
          <w:rFonts w:ascii="Times New Roman" w:hAnsi="Times New Roman"/>
          <w:sz w:val="20"/>
        </w:rPr>
        <w:t xml:space="preserve"> </w:t>
      </w:r>
    </w:p>
    <w:p>
      <w:pPr>
        <w:pStyle w:val="TextBody"/>
        <w:bidi w:val="0"/>
        <w:spacing w:lineRule="auto" w:line="240" w:before="0" w:after="240"/>
        <w:ind w:left="1944" w:right="864" w:hanging="360"/>
        <w:jc w:val="left"/>
        <w:rPr>
          <w:rFonts w:ascii="Times New Roman" w:hAnsi="Times New Roman"/>
          <w:sz w:val="20"/>
        </w:rPr>
      </w:pPr>
      <w:r>
        <w:rPr>
          <w:rFonts w:ascii="Times New Roman" w:hAnsi="Times New Roman"/>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sz w:val="20"/>
        </w:rPr>
        <w:t xml:space="preserve"> </w:t>
      </w:r>
    </w:p>
    <w:p>
      <w:pPr>
        <w:pStyle w:val="TextBody"/>
        <w:bidi w:val="0"/>
        <w:spacing w:lineRule="auto" w:line="240" w:before="0" w:after="240"/>
        <w:ind w:left="1944" w:right="864" w:hanging="360"/>
        <w:jc w:val="left"/>
        <w:rPr>
          <w:rFonts w:ascii="Times New Roman" w:hAnsi="Times New Roman"/>
          <w:sz w:val="20"/>
        </w:rPr>
      </w:pPr>
      <w:r>
        <w:rPr>
          <w:rFonts w:ascii="Times New Roman" w:hAnsi="Times New Roman"/>
          <w:color w:val="000000"/>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bidi w:val="0"/>
        <w:spacing w:lineRule="auto" w:line="240" w:before="0" w:after="240"/>
        <w:ind w:left="1944" w:right="864" w:hanging="360"/>
        <w:jc w:val="left"/>
        <w:rPr>
          <w:rFonts w:ascii="Times New Roman" w:hAnsi="Times New Roman"/>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sz w:val="20"/>
        </w:rPr>
        <w:t xml:space="preserve"> </w:t>
      </w:r>
    </w:p>
    <w:tbl>
      <w:tblPr>
        <w:tblW w:w="8765" w:type="dxa"/>
        <w:jc w:val="left"/>
        <w:tblInd w:w="720" w:type="dxa"/>
        <w:tblLayout w:type="fixed"/>
        <w:tblCellMar>
          <w:top w:w="0" w:type="dxa"/>
          <w:left w:w="0" w:type="dxa"/>
          <w:bottom w:w="0" w:type="dxa"/>
          <w:right w:w="0" w:type="dxa"/>
        </w:tblCellMar>
      </w:tblPr>
      <w:tblGrid>
        <w:gridCol w:w="38"/>
        <w:gridCol w:w="443"/>
        <w:gridCol w:w="23"/>
        <w:gridCol w:w="8261"/>
      </w:tblGrid>
      <w:tr>
        <w:trPr/>
        <w:tc>
          <w:tcPr>
            <w:tcW w:w="38" w:type="dxa"/>
            <w:tcBorders/>
            <w:vAlign w:val="center"/>
          </w:tcPr>
          <w:p>
            <w:pPr>
              <w:pStyle w:val="TableContents"/>
              <w:bidi w:val="0"/>
              <w:spacing w:before="0" w:after="283"/>
              <w:jc w:val="left"/>
              <w:rPr>
                <w:sz w:val="4"/>
                <w:szCs w:val="4"/>
              </w:rPr>
            </w:pPr>
            <w:r>
              <w:rPr>
                <w:sz w:val="4"/>
                <w:szCs w:val="4"/>
              </w:rPr>
            </w:r>
          </w:p>
        </w:tc>
        <w:tc>
          <w:tcPr>
            <w:tcW w:w="443"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sz w:val="20"/>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8261" w:type="dxa"/>
            <w:tcBorders/>
          </w:tcPr>
          <w:p>
            <w:pPr>
              <w:pStyle w:val="TableContents"/>
              <w:bidi w:val="0"/>
              <w:spacing w:lineRule="auto" w:line="240" w:before="0" w:after="240"/>
              <w:ind w:left="0" w:right="144" w:hanging="0"/>
              <w:jc w:val="left"/>
              <w:rPr>
                <w:rFonts w:ascii="Times New Roman" w:hAnsi="Times New Roman"/>
                <w:color w:val="000000"/>
                <w:sz w:val="20"/>
              </w:rPr>
            </w:pPr>
            <w:r>
              <w:rPr>
                <w:rFonts w:ascii="Times New Roman" w:hAnsi="Times New Roman"/>
                <w:color w:val="000000"/>
                <w:sz w:val="20"/>
              </w:rPr>
              <w:t>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240"/>
        <w:ind w:left="1944" w:right="864" w:hanging="360"/>
        <w:jc w:val="left"/>
        <w:rPr>
          <w:rFonts w:ascii="Times New Roman" w:hAnsi="Times New Roman"/>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bidi w:val="0"/>
        <w:spacing w:lineRule="auto" w:line="240" w:before="0" w:after="240"/>
        <w:ind w:left="1944" w:right="864" w:hanging="360"/>
        <w:jc w:val="left"/>
        <w:rPr>
          <w:rFonts w:ascii="Times New Roman" w:hAnsi="Times New Roman"/>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tbl>
      <w:tblPr>
        <w:tblW w:w="3215" w:type="dxa"/>
        <w:jc w:val="left"/>
        <w:tblInd w:w="720" w:type="dxa"/>
        <w:tblLayout w:type="fixed"/>
        <w:tblCellMar>
          <w:top w:w="0" w:type="dxa"/>
          <w:left w:w="0" w:type="dxa"/>
          <w:bottom w:w="0" w:type="dxa"/>
          <w:right w:w="0" w:type="dxa"/>
        </w:tblCellMar>
      </w:tblPr>
      <w:tblGrid>
        <w:gridCol w:w="3140"/>
        <w:gridCol w:w="75"/>
      </w:tblGrid>
      <w:tr>
        <w:trPr/>
        <w:tc>
          <w:tcPr>
            <w:tcW w:w="3140" w:type="dxa"/>
            <w:tcBorders/>
            <w:vAlign w:val="bottom"/>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3140"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Dated: October 31, 2025</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314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3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Michael J. Koss</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3140"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Michael J. Koss</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3140"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Chairman and Chief Executive Officer</w:t>
            </w:r>
          </w:p>
        </w:tc>
        <w:tc>
          <w:tcPr>
            <w:tcW w:w="75" w:type="dxa"/>
            <w:tcBorders/>
            <w:vAlign w:val="bottom"/>
          </w:tcPr>
          <w:p>
            <w:pPr>
              <w:pStyle w:val="TableContents"/>
              <w:bidi w:val="0"/>
              <w:spacing w:lineRule="auto" w:line="240" w:before="0" w:after="0"/>
              <w:ind w:left="0" w:right="0" w:hanging="0"/>
              <w:jc w:val="left"/>
              <w:rPr/>
            </w:pPr>
            <w:r>
              <w:rPr/>
              <w:t> </w:t>
            </w:r>
          </w:p>
        </w:tc>
      </w:tr>
    </w:tbl>
    <w:p>
      <w:pPr>
        <w:pStyle w:val="TextBody"/>
        <w:bidi w:val="0"/>
        <w:spacing w:lineRule="auto" w:line="240" w:before="0" w:after="0"/>
        <w:ind w:left="720" w:right="720" w:hanging="0"/>
        <w:jc w:val="left"/>
        <w:rPr>
          <w:rFonts w:cs="Times New Roman"/>
          <w:szCs w:val="20"/>
        </w:rPr>
      </w:pPr>
      <w:r>
        <w:rPr>
          <w:rFonts w:cs="Times New Roman"/>
          <w:color w:val="000000"/>
          <w:szCs w:val="20"/>
        </w:rPr>
        <w:t>﻿</w:t>
      </w:r>
      <w:r>
        <w:rPr>
          <w:rFonts w:cs="Times New Roman"/>
          <w:szCs w:val="20"/>
        </w:rPr>
        <w:t xml:space="preserve"> </w:t>
      </w:r>
    </w:p>
    <w:p>
      <w:pPr>
        <w:pStyle w:val="HorizontalLine"/>
        <w:pBdr>
          <w:bottom w:val="double" w:sz="6" w:space="0" w:color="808080"/>
        </w:pBdr>
        <w:bidi w:val="0"/>
        <w:ind w:left="720" w:right="720" w:hanging="0"/>
        <w:jc w:val="left"/>
        <w:rPr/>
      </w:pPr>
      <w:r>
        <w:rPr/>
      </w:r>
    </w:p>
    <w:p>
      <w:pPr>
        <w:pStyle w:val="TextBody"/>
        <w:bidi w:val="0"/>
        <w:spacing w:lineRule="auto" w:line="240" w:before="0" w:after="0"/>
        <w:ind w:left="720" w:right="720" w:hanging="0"/>
        <w:jc w:val="right"/>
        <w:rPr>
          <w:rFonts w:ascii="Times New Roman" w:hAnsi="Times New Roman"/>
          <w:sz w:val="20"/>
        </w:rPr>
      </w:pPr>
      <w:bookmarkStart w:id="25" w:name="koss-20250930xex31_2.htm"/>
      <w:bookmarkStart w:id="26" w:name="kskoss20250930xex31_2"/>
      <w:bookmarkEnd w:id="25"/>
      <w:bookmarkEnd w:id="26"/>
      <w:r>
        <w:rPr>
          <w:rFonts w:ascii="Times New Roman" w:hAnsi="Times New Roman"/>
          <w:b/>
          <w:sz w:val="20"/>
        </w:rPr>
        <w:t>Exhibit 31.2</w:t>
      </w:r>
      <w:r>
        <w:rPr>
          <w:rFonts w:ascii="Times New Roman" w:hAnsi="Times New Roman"/>
          <w:sz w:val="20"/>
        </w:rPr>
        <w:t xml:space="preserve"> </w:t>
      </w:r>
      <w:r>
        <w:br w:type="page"/>
      </w:r>
    </w:p>
    <w:p>
      <w:pPr>
        <w:pStyle w:val="TextBody"/>
        <w:bidi w:val="0"/>
        <w:spacing w:lineRule="auto" w:line="240" w:before="0" w:after="0"/>
        <w:ind w:left="720" w:right="720" w:hanging="0"/>
        <w:jc w:val="right"/>
        <w:rPr/>
      </w:pPr>
      <w:r>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Certification of Chief Financial Officer </w:t>
      </w:r>
      <w:r>
        <w:rPr>
          <w:rFonts w:ascii="Times New Roman" w:hAnsi="Times New Roman"/>
          <w:sz w:val="20"/>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Pursuant to Section 302 of the Sarbanes-Oxley Act of 2002</w:t>
      </w:r>
      <w:r>
        <w:rPr>
          <w:rFonts w:ascii="Times New Roman" w:hAnsi="Times New Roman"/>
          <w:sz w:val="20"/>
        </w:rPr>
        <w:t xml:space="preserve"> </w:t>
      </w:r>
    </w:p>
    <w:p>
      <w:pPr>
        <w:pStyle w:val="TextBody"/>
        <w:bidi w:val="0"/>
        <w:spacing w:lineRule="auto" w:line="240" w:before="0" w:after="0"/>
        <w:ind w:left="864" w:right="864" w:hanging="0"/>
        <w:jc w:val="center"/>
        <w:rPr/>
      </w:pPr>
      <w:r>
        <w:rPr/>
        <w:t xml:space="preserve">  </w:t>
      </w:r>
    </w:p>
    <w:p>
      <w:pPr>
        <w:pStyle w:val="TextBody"/>
        <w:bidi w:val="0"/>
        <w:spacing w:lineRule="auto" w:line="240" w:before="0" w:after="240"/>
        <w:ind w:left="864" w:right="864" w:hanging="0"/>
        <w:jc w:val="left"/>
        <w:rPr>
          <w:rFonts w:ascii="Times New Roman" w:hAnsi="Times New Roman"/>
          <w:sz w:val="20"/>
        </w:rPr>
      </w:pPr>
      <w:r>
        <w:rPr>
          <w:rFonts w:ascii="Times New Roman" w:hAnsi="Times New Roman"/>
          <w:sz w:val="20"/>
        </w:rPr>
        <w:t xml:space="preserve">I, Kim M. Schulte, certify that: </w:t>
      </w:r>
    </w:p>
    <w:tbl>
      <w:tblPr>
        <w:tblW w:w="6578" w:type="dxa"/>
        <w:jc w:val="left"/>
        <w:tblInd w:w="720" w:type="dxa"/>
        <w:tblLayout w:type="fixed"/>
        <w:tblCellMar>
          <w:top w:w="0" w:type="dxa"/>
          <w:left w:w="0" w:type="dxa"/>
          <w:bottom w:w="0" w:type="dxa"/>
          <w:right w:w="0" w:type="dxa"/>
        </w:tblCellMar>
      </w:tblPr>
      <w:tblGrid>
        <w:gridCol w:w="38"/>
        <w:gridCol w:w="503"/>
        <w:gridCol w:w="23"/>
        <w:gridCol w:w="6014"/>
      </w:tblGrid>
      <w:tr>
        <w:trPr/>
        <w:tc>
          <w:tcPr>
            <w:tcW w:w="38" w:type="dxa"/>
            <w:tcBorders/>
            <w:vAlign w:val="center"/>
          </w:tcPr>
          <w:p>
            <w:pPr>
              <w:pStyle w:val="TableContents"/>
              <w:bidi w:val="0"/>
              <w:spacing w:before="0" w:after="283"/>
              <w:jc w:val="left"/>
              <w:rPr>
                <w:sz w:val="4"/>
                <w:szCs w:val="4"/>
              </w:rPr>
            </w:pPr>
            <w:r>
              <w:rPr>
                <w:sz w:val="4"/>
                <w:szCs w:val="4"/>
              </w:rPr>
            </w:r>
          </w:p>
        </w:tc>
        <w:tc>
          <w:tcPr>
            <w:tcW w:w="503"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sz w:val="20"/>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6014" w:type="dxa"/>
            <w:tcBorders/>
          </w:tcPr>
          <w:p>
            <w:pPr>
              <w:pStyle w:val="TableContents"/>
              <w:bidi w:val="0"/>
              <w:spacing w:lineRule="auto" w:line="240" w:before="0" w:after="240"/>
              <w:ind w:left="0" w:right="144" w:hanging="0"/>
              <w:jc w:val="left"/>
              <w:rPr>
                <w:rFonts w:ascii="Times New Roman" w:hAnsi="Times New Roman"/>
                <w:color w:val="000000"/>
                <w:sz w:val="20"/>
              </w:rPr>
            </w:pPr>
            <w:r>
              <w:rPr>
                <w:rFonts w:ascii="Times New Roman" w:hAnsi="Times New Roman"/>
                <w:color w:val="000000"/>
                <w:sz w:val="20"/>
              </w:rPr>
              <w:t>I have reviewed this quarterly report on Form 10-Q of Koss Corporation;</w:t>
            </w:r>
          </w:p>
        </w:tc>
      </w:tr>
    </w:tbl>
    <w:tbl>
      <w:tblPr>
        <w:tblW w:w="8765" w:type="dxa"/>
        <w:jc w:val="left"/>
        <w:tblInd w:w="720" w:type="dxa"/>
        <w:tblLayout w:type="fixed"/>
        <w:tblCellMar>
          <w:top w:w="0" w:type="dxa"/>
          <w:left w:w="0" w:type="dxa"/>
          <w:bottom w:w="0" w:type="dxa"/>
          <w:right w:w="0" w:type="dxa"/>
        </w:tblCellMar>
      </w:tblPr>
      <w:tblGrid>
        <w:gridCol w:w="38"/>
        <w:gridCol w:w="440"/>
        <w:gridCol w:w="23"/>
        <w:gridCol w:w="8264"/>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sz w:val="20"/>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8264" w:type="dxa"/>
            <w:tcBorders/>
          </w:tcPr>
          <w:p>
            <w:pPr>
              <w:pStyle w:val="TableContents"/>
              <w:bidi w:val="0"/>
              <w:spacing w:lineRule="auto" w:line="240" w:before="0" w:after="240"/>
              <w:ind w:left="0" w:right="144" w:hanging="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8765" w:type="dxa"/>
        <w:jc w:val="left"/>
        <w:tblInd w:w="720" w:type="dxa"/>
        <w:tblLayout w:type="fixed"/>
        <w:tblCellMar>
          <w:top w:w="0" w:type="dxa"/>
          <w:left w:w="0" w:type="dxa"/>
          <w:bottom w:w="0" w:type="dxa"/>
          <w:right w:w="0" w:type="dxa"/>
        </w:tblCellMar>
      </w:tblPr>
      <w:tblGrid>
        <w:gridCol w:w="38"/>
        <w:gridCol w:w="442"/>
        <w:gridCol w:w="23"/>
        <w:gridCol w:w="8262"/>
      </w:tblGrid>
      <w:tr>
        <w:trPr/>
        <w:tc>
          <w:tcPr>
            <w:tcW w:w="38" w:type="dxa"/>
            <w:tcBorders/>
            <w:vAlign w:val="center"/>
          </w:tcPr>
          <w:p>
            <w:pPr>
              <w:pStyle w:val="TableContents"/>
              <w:bidi w:val="0"/>
              <w:spacing w:before="0" w:after="283"/>
              <w:jc w:val="left"/>
              <w:rPr>
                <w:sz w:val="4"/>
                <w:szCs w:val="4"/>
              </w:rPr>
            </w:pPr>
            <w:r>
              <w:rPr>
                <w:sz w:val="4"/>
                <w:szCs w:val="4"/>
              </w:rPr>
            </w:r>
          </w:p>
        </w:tc>
        <w:tc>
          <w:tcPr>
            <w:tcW w:w="442"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sz w:val="20"/>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8262" w:type="dxa"/>
            <w:tcBorders/>
          </w:tcPr>
          <w:p>
            <w:pPr>
              <w:pStyle w:val="TableContents"/>
              <w:bidi w:val="0"/>
              <w:spacing w:lineRule="auto" w:line="240" w:before="0" w:after="240"/>
              <w:ind w:left="0" w:right="144" w:hanging="0"/>
              <w:jc w:val="left"/>
              <w:rPr>
                <w:rFonts w:ascii="Times New Roman" w:hAnsi="Times New Roman"/>
                <w:color w:val="000000"/>
                <w:sz w:val="20"/>
              </w:rPr>
            </w:pPr>
            <w:r>
              <w:rPr>
                <w:rFonts w:ascii="Times New Roman" w:hAnsi="Times New Roman"/>
                <w:color w:val="000000"/>
                <w:sz w:val="20"/>
              </w:rPr>
              <w:t>Based on my knowledge, the condensed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8765" w:type="dxa"/>
        <w:jc w:val="left"/>
        <w:tblInd w:w="720" w:type="dxa"/>
        <w:tblLayout w:type="fixed"/>
        <w:tblCellMar>
          <w:top w:w="0" w:type="dxa"/>
          <w:left w:w="0" w:type="dxa"/>
          <w:bottom w:w="0" w:type="dxa"/>
          <w:right w:w="0" w:type="dxa"/>
        </w:tblCellMar>
      </w:tblPr>
      <w:tblGrid>
        <w:gridCol w:w="38"/>
        <w:gridCol w:w="438"/>
        <w:gridCol w:w="23"/>
        <w:gridCol w:w="8266"/>
      </w:tblGrid>
      <w:tr>
        <w:trPr/>
        <w:tc>
          <w:tcPr>
            <w:tcW w:w="38" w:type="dxa"/>
            <w:tcBorders/>
            <w:vAlign w:val="center"/>
          </w:tcPr>
          <w:p>
            <w:pPr>
              <w:pStyle w:val="TableContents"/>
              <w:bidi w:val="0"/>
              <w:spacing w:before="0" w:after="283"/>
              <w:jc w:val="left"/>
              <w:rPr>
                <w:sz w:val="4"/>
                <w:szCs w:val="4"/>
              </w:rPr>
            </w:pPr>
            <w:r>
              <w:rPr>
                <w:sz w:val="4"/>
                <w:szCs w:val="4"/>
              </w:rPr>
            </w:r>
          </w:p>
        </w:tc>
        <w:tc>
          <w:tcPr>
            <w:tcW w:w="438"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sz w:val="20"/>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8266" w:type="dxa"/>
            <w:tcBorders/>
          </w:tcPr>
          <w:p>
            <w:pPr>
              <w:pStyle w:val="TableContents"/>
              <w:bidi w:val="0"/>
              <w:spacing w:lineRule="auto" w:line="240" w:before="0" w:after="240"/>
              <w:ind w:left="0" w:right="144" w:hanging="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240"/>
        <w:ind w:left="1944" w:right="864" w:hanging="360"/>
        <w:jc w:val="left"/>
        <w:rPr>
          <w:rFonts w:ascii="Times New Roman" w:hAnsi="Times New Roman"/>
          <w:sz w:val="20"/>
        </w:rPr>
      </w:pPr>
      <w:r>
        <w:rPr>
          <w:rFonts w:ascii="Times New Roman" w:hAnsi="Times New Roman"/>
          <w:color w:val="000000"/>
          <w:sz w:val="20"/>
        </w:rPr>
        <w:t>a)    designed such disclosure controls and procedures, or caused such disclosure controls and procedures to be designed under my supervision, to ensure that material information relating to the registrant, including its subsidiary, is made known to me by others within those entities, particularly during the period in which this report is being prepared;</w:t>
      </w:r>
      <w:r>
        <w:rPr>
          <w:rFonts w:ascii="Times New Roman" w:hAnsi="Times New Roman"/>
          <w:sz w:val="20"/>
        </w:rPr>
        <w:t xml:space="preserve"> </w:t>
      </w:r>
    </w:p>
    <w:p>
      <w:pPr>
        <w:pStyle w:val="TextBody"/>
        <w:bidi w:val="0"/>
        <w:spacing w:lineRule="auto" w:line="240" w:before="0" w:after="240"/>
        <w:ind w:left="1944" w:right="864" w:hanging="360"/>
        <w:jc w:val="left"/>
        <w:rPr>
          <w:rFonts w:ascii="Times New Roman" w:hAnsi="Times New Roman"/>
          <w:sz w:val="20"/>
        </w:rPr>
      </w:pPr>
      <w:r>
        <w:rPr>
          <w:rFonts w:ascii="Times New Roman" w:hAnsi="Times New Roman"/>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sz w:val="20"/>
        </w:rPr>
        <w:t xml:space="preserve"> </w:t>
      </w:r>
    </w:p>
    <w:p>
      <w:pPr>
        <w:pStyle w:val="TextBody"/>
        <w:bidi w:val="0"/>
        <w:spacing w:lineRule="auto" w:line="240" w:before="0" w:after="240"/>
        <w:ind w:left="1944" w:right="864" w:hanging="360"/>
        <w:jc w:val="left"/>
        <w:rPr>
          <w:rFonts w:ascii="Times New Roman" w:hAnsi="Times New Roman"/>
          <w:sz w:val="20"/>
        </w:rPr>
      </w:pPr>
      <w:r>
        <w:rPr>
          <w:rFonts w:ascii="Times New Roman" w:hAnsi="Times New Roman"/>
          <w:color w:val="000000"/>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bidi w:val="0"/>
        <w:spacing w:lineRule="auto" w:line="240" w:before="0" w:after="240"/>
        <w:ind w:left="1944" w:right="864" w:hanging="360"/>
        <w:jc w:val="left"/>
        <w:rPr>
          <w:rFonts w:ascii="Times New Roman" w:hAnsi="Times New Roman"/>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sz w:val="20"/>
        </w:rPr>
        <w:t xml:space="preserve"> </w:t>
      </w:r>
    </w:p>
    <w:tbl>
      <w:tblPr>
        <w:tblW w:w="8765" w:type="dxa"/>
        <w:jc w:val="left"/>
        <w:tblInd w:w="720" w:type="dxa"/>
        <w:tblLayout w:type="fixed"/>
        <w:tblCellMar>
          <w:top w:w="0" w:type="dxa"/>
          <w:left w:w="0" w:type="dxa"/>
          <w:bottom w:w="0" w:type="dxa"/>
          <w:right w:w="0" w:type="dxa"/>
        </w:tblCellMar>
      </w:tblPr>
      <w:tblGrid>
        <w:gridCol w:w="38"/>
        <w:gridCol w:w="443"/>
        <w:gridCol w:w="23"/>
        <w:gridCol w:w="8261"/>
      </w:tblGrid>
      <w:tr>
        <w:trPr/>
        <w:tc>
          <w:tcPr>
            <w:tcW w:w="38" w:type="dxa"/>
            <w:tcBorders/>
            <w:vAlign w:val="center"/>
          </w:tcPr>
          <w:p>
            <w:pPr>
              <w:pStyle w:val="TableContents"/>
              <w:bidi w:val="0"/>
              <w:spacing w:before="0" w:after="283"/>
              <w:jc w:val="left"/>
              <w:rPr>
                <w:sz w:val="4"/>
                <w:szCs w:val="4"/>
              </w:rPr>
            </w:pPr>
            <w:r>
              <w:rPr>
                <w:sz w:val="4"/>
                <w:szCs w:val="4"/>
              </w:rPr>
            </w:r>
          </w:p>
        </w:tc>
        <w:tc>
          <w:tcPr>
            <w:tcW w:w="443"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sz w:val="20"/>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8261" w:type="dxa"/>
            <w:tcBorders/>
          </w:tcPr>
          <w:p>
            <w:pPr>
              <w:pStyle w:val="TableContents"/>
              <w:bidi w:val="0"/>
              <w:spacing w:lineRule="auto" w:line="240" w:before="0" w:after="240"/>
              <w:ind w:left="0" w:right="144" w:hanging="0"/>
              <w:jc w:val="left"/>
              <w:rPr>
                <w:rFonts w:ascii="Times New Roman" w:hAnsi="Times New Roman"/>
                <w:color w:val="000000"/>
                <w:sz w:val="20"/>
              </w:rPr>
            </w:pPr>
            <w:r>
              <w:rPr>
                <w:rFonts w:ascii="Times New Roman" w:hAnsi="Times New Roman"/>
                <w:color w:val="000000"/>
                <w:sz w:val="20"/>
              </w:rPr>
              <w:t>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240"/>
        <w:ind w:left="1944" w:right="864" w:hanging="360"/>
        <w:jc w:val="left"/>
        <w:rPr>
          <w:rFonts w:ascii="Times New Roman" w:hAnsi="Times New Roman"/>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bidi w:val="0"/>
        <w:spacing w:lineRule="auto" w:line="240" w:before="0" w:after="240"/>
        <w:ind w:left="1944" w:right="864" w:hanging="360"/>
        <w:jc w:val="left"/>
        <w:rPr>
          <w:rFonts w:ascii="Times New Roman" w:hAnsi="Times New Roman"/>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tbl>
      <w:tblPr>
        <w:tblW w:w="2105" w:type="dxa"/>
        <w:jc w:val="left"/>
        <w:tblInd w:w="720" w:type="dxa"/>
        <w:tblLayout w:type="fixed"/>
        <w:tblCellMar>
          <w:top w:w="0" w:type="dxa"/>
          <w:left w:w="0" w:type="dxa"/>
          <w:bottom w:w="0" w:type="dxa"/>
          <w:right w:w="0" w:type="dxa"/>
        </w:tblCellMar>
      </w:tblPr>
      <w:tblGrid>
        <w:gridCol w:w="2030"/>
        <w:gridCol w:w="75"/>
      </w:tblGrid>
      <w:tr>
        <w:trPr/>
        <w:tc>
          <w:tcPr>
            <w:tcW w:w="203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54" w:before="0" w:after="160"/>
              <w:ind w:left="0" w:right="0" w:hanging="0"/>
              <w:jc w:val="left"/>
              <w:rPr/>
            </w:pPr>
            <w:r>
              <w:rPr/>
              <w:t> </w:t>
            </w:r>
          </w:p>
        </w:tc>
      </w:tr>
      <w:tr>
        <w:trPr/>
        <w:tc>
          <w:tcPr>
            <w:tcW w:w="2030" w:type="dxa"/>
            <w:tcBorders/>
            <w:vAlign w:val="bottom"/>
          </w:tcPr>
          <w:p>
            <w:pPr>
              <w:pStyle w:val="TableContents"/>
              <w:bidi w:val="0"/>
              <w:spacing w:lineRule="auto" w:line="254" w:before="0" w:after="0"/>
              <w:ind w:left="0" w:right="0" w:hanging="0"/>
              <w:jc w:val="left"/>
              <w:rPr>
                <w:rFonts w:ascii="Times New Roman" w:hAnsi="Times New Roman"/>
                <w:color w:val="000000"/>
                <w:sz w:val="20"/>
              </w:rPr>
            </w:pPr>
            <w:r>
              <w:rPr>
                <w:rFonts w:ascii="Times New Roman" w:hAnsi="Times New Roman"/>
                <w:color w:val="000000"/>
                <w:sz w:val="20"/>
              </w:rPr>
              <w:t>Dated: October 31, 2025</w:t>
            </w:r>
          </w:p>
        </w:tc>
        <w:tc>
          <w:tcPr>
            <w:tcW w:w="75" w:type="dxa"/>
            <w:tcBorders/>
            <w:vAlign w:val="bottom"/>
          </w:tcPr>
          <w:p>
            <w:pPr>
              <w:pStyle w:val="TableContents"/>
              <w:bidi w:val="0"/>
              <w:spacing w:lineRule="auto" w:line="254" w:before="0" w:after="0"/>
              <w:ind w:left="0" w:right="0" w:hanging="0"/>
              <w:jc w:val="left"/>
              <w:rPr/>
            </w:pPr>
            <w:r>
              <w:rPr/>
              <w:t> </w:t>
            </w:r>
          </w:p>
        </w:tc>
      </w:tr>
      <w:tr>
        <w:trPr/>
        <w:tc>
          <w:tcPr>
            <w:tcW w:w="2030" w:type="dxa"/>
            <w:tcBorders/>
            <w:vAlign w:val="bottom"/>
          </w:tcPr>
          <w:p>
            <w:pPr>
              <w:pStyle w:val="TableContents"/>
              <w:bidi w:val="0"/>
              <w:spacing w:lineRule="auto" w:line="254" w:before="0" w:after="0"/>
              <w:ind w:left="0" w:right="0" w:hanging="0"/>
              <w:jc w:val="left"/>
              <w:rPr/>
            </w:pPr>
            <w:r>
              <w:rPr/>
              <w:t> </w:t>
            </w:r>
          </w:p>
        </w:tc>
        <w:tc>
          <w:tcPr>
            <w:tcW w:w="75" w:type="dxa"/>
            <w:tcBorders/>
            <w:vAlign w:val="bottom"/>
          </w:tcPr>
          <w:p>
            <w:pPr>
              <w:pStyle w:val="TableContents"/>
              <w:bidi w:val="0"/>
              <w:spacing w:lineRule="auto" w:line="254" w:before="0" w:after="0"/>
              <w:ind w:left="0" w:right="0" w:hanging="0"/>
              <w:jc w:val="left"/>
              <w:rPr/>
            </w:pPr>
            <w:r>
              <w:rPr/>
              <w:t> </w:t>
            </w:r>
          </w:p>
        </w:tc>
      </w:tr>
      <w:tr>
        <w:trPr/>
        <w:tc>
          <w:tcPr>
            <w:tcW w:w="2030" w:type="dxa"/>
            <w:tcBorders>
              <w:bottom w:val="single" w:sz="8" w:space="0" w:color="000000"/>
            </w:tcBorders>
            <w:tcMar>
              <w:bottom w:w="28" w:type="dxa"/>
            </w:tcMar>
            <w:vAlign w:val="bottom"/>
          </w:tcPr>
          <w:p>
            <w:pPr>
              <w:pStyle w:val="TableContents"/>
              <w:bidi w:val="0"/>
              <w:spacing w:lineRule="auto" w:line="254" w:before="0" w:after="0"/>
              <w:ind w:left="0" w:right="0" w:hanging="0"/>
              <w:jc w:val="left"/>
              <w:rPr>
                <w:rFonts w:ascii="Times New Roman" w:hAnsi="Times New Roman"/>
                <w:color w:val="000000"/>
                <w:sz w:val="20"/>
              </w:rPr>
            </w:pPr>
            <w:r>
              <w:rPr>
                <w:rFonts w:ascii="Times New Roman" w:hAnsi="Times New Roman"/>
                <w:color w:val="000000"/>
                <w:sz w:val="20"/>
              </w:rPr>
              <w:t>/s/ Kim M. Schulte</w:t>
            </w:r>
          </w:p>
        </w:tc>
        <w:tc>
          <w:tcPr>
            <w:tcW w:w="75" w:type="dxa"/>
            <w:tcBorders/>
            <w:vAlign w:val="bottom"/>
          </w:tcPr>
          <w:p>
            <w:pPr>
              <w:pStyle w:val="TableContents"/>
              <w:bidi w:val="0"/>
              <w:spacing w:lineRule="auto" w:line="254" w:before="0" w:after="0"/>
              <w:ind w:left="0" w:right="0" w:hanging="0"/>
              <w:jc w:val="left"/>
              <w:rPr/>
            </w:pPr>
            <w:r>
              <w:rPr/>
              <w:t> </w:t>
            </w:r>
          </w:p>
        </w:tc>
      </w:tr>
      <w:tr>
        <w:trPr/>
        <w:tc>
          <w:tcPr>
            <w:tcW w:w="2030" w:type="dxa"/>
            <w:tcBorders/>
            <w:vAlign w:val="bottom"/>
          </w:tcPr>
          <w:p>
            <w:pPr>
              <w:pStyle w:val="TableContents"/>
              <w:bidi w:val="0"/>
              <w:spacing w:lineRule="auto" w:line="254" w:before="0" w:after="0"/>
              <w:ind w:left="0" w:right="0" w:hanging="0"/>
              <w:jc w:val="left"/>
              <w:rPr>
                <w:rFonts w:ascii="Times New Roman" w:hAnsi="Times New Roman"/>
                <w:color w:val="000000"/>
                <w:sz w:val="20"/>
              </w:rPr>
            </w:pPr>
            <w:r>
              <w:rPr>
                <w:rFonts w:ascii="Times New Roman" w:hAnsi="Times New Roman"/>
                <w:color w:val="000000"/>
                <w:sz w:val="20"/>
              </w:rPr>
              <w:t>Kim M. Schulte</w:t>
            </w:r>
          </w:p>
        </w:tc>
        <w:tc>
          <w:tcPr>
            <w:tcW w:w="75" w:type="dxa"/>
            <w:tcBorders/>
            <w:vAlign w:val="bottom"/>
          </w:tcPr>
          <w:p>
            <w:pPr>
              <w:pStyle w:val="TableContents"/>
              <w:bidi w:val="0"/>
              <w:spacing w:lineRule="auto" w:line="254" w:before="0" w:after="0"/>
              <w:ind w:left="0" w:right="0" w:hanging="0"/>
              <w:jc w:val="left"/>
              <w:rPr/>
            </w:pPr>
            <w:r>
              <w:rPr/>
              <w:t> </w:t>
            </w:r>
          </w:p>
        </w:tc>
      </w:tr>
      <w:tr>
        <w:trPr/>
        <w:tc>
          <w:tcPr>
            <w:tcW w:w="2030" w:type="dxa"/>
            <w:tcBorders/>
            <w:vAlign w:val="bottom"/>
          </w:tcPr>
          <w:p>
            <w:pPr>
              <w:pStyle w:val="TableContents"/>
              <w:bidi w:val="0"/>
              <w:spacing w:lineRule="auto" w:line="254" w:before="0" w:after="0"/>
              <w:ind w:left="0" w:right="0" w:hanging="0"/>
              <w:jc w:val="left"/>
              <w:rPr>
                <w:rFonts w:ascii="Times New Roman" w:hAnsi="Times New Roman"/>
                <w:color w:val="000000"/>
                <w:sz w:val="20"/>
              </w:rPr>
            </w:pPr>
            <w:r>
              <w:rPr>
                <w:rFonts w:ascii="Times New Roman" w:hAnsi="Times New Roman"/>
                <w:color w:val="000000"/>
                <w:sz w:val="20"/>
              </w:rPr>
              <w:t>Chief Financial Officer</w:t>
            </w:r>
          </w:p>
        </w:tc>
        <w:tc>
          <w:tcPr>
            <w:tcW w:w="75" w:type="dxa"/>
            <w:tcBorders/>
            <w:vAlign w:val="bottom"/>
          </w:tcPr>
          <w:p>
            <w:pPr>
              <w:pStyle w:val="TableContents"/>
              <w:bidi w:val="0"/>
              <w:spacing w:lineRule="auto" w:line="254" w:before="0" w:after="0"/>
              <w:ind w:left="0" w:right="0" w:hanging="0"/>
              <w:jc w:val="left"/>
              <w:rPr/>
            </w:pPr>
            <w:r>
              <w:rPr/>
              <w:t> </w:t>
            </w:r>
          </w:p>
        </w:tc>
      </w:tr>
    </w:tbl>
    <w:p>
      <w:pPr>
        <w:pStyle w:val="TextBody"/>
        <w:bidi w:val="0"/>
        <w:spacing w:lineRule="auto" w:line="240" w:before="0" w:after="0"/>
        <w:ind w:left="720" w:right="720" w:hanging="0"/>
        <w:jc w:val="left"/>
        <w:rPr>
          <w:rFonts w:cs="Times New Roman"/>
          <w:szCs w:val="20"/>
        </w:rPr>
      </w:pPr>
      <w:r>
        <w:rPr>
          <w:rFonts w:cs="Times New Roman"/>
          <w:color w:val="000000"/>
          <w:szCs w:val="20"/>
        </w:rPr>
        <w:t>﻿</w:t>
      </w:r>
      <w:r>
        <w:rPr>
          <w:rFonts w:cs="Times New Roman"/>
          <w:szCs w:val="20"/>
        </w:rPr>
        <w:t xml:space="preserve"> </w:t>
      </w:r>
    </w:p>
    <w:p>
      <w:pPr>
        <w:pStyle w:val="HorizontalLine"/>
        <w:pBdr>
          <w:bottom w:val="double" w:sz="6" w:space="0" w:color="808080"/>
        </w:pBdr>
        <w:bidi w:val="0"/>
        <w:ind w:left="720" w:right="720" w:hanging="0"/>
        <w:jc w:val="left"/>
        <w:rPr/>
      </w:pPr>
      <w:r>
        <w:rPr/>
      </w:r>
    </w:p>
    <w:p>
      <w:pPr>
        <w:pStyle w:val="TextBody"/>
        <w:bidi w:val="0"/>
        <w:spacing w:lineRule="auto" w:line="240" w:before="0" w:after="0"/>
        <w:ind w:left="720" w:right="720" w:hanging="0"/>
        <w:jc w:val="right"/>
        <w:rPr>
          <w:rFonts w:ascii="Times New Roman" w:hAnsi="Times New Roman"/>
          <w:sz w:val="20"/>
        </w:rPr>
      </w:pPr>
      <w:bookmarkStart w:id="27" w:name="koss-20250930xex32_1.htm"/>
      <w:bookmarkStart w:id="28" w:name="kskoss20250930xex32_1"/>
      <w:bookmarkEnd w:id="27"/>
      <w:bookmarkEnd w:id="28"/>
      <w:r>
        <w:rPr>
          <w:rFonts w:ascii="Times New Roman" w:hAnsi="Times New Roman"/>
          <w:b/>
          <w:sz w:val="20"/>
        </w:rPr>
        <w:t>Exhibit 32.1</w:t>
      </w:r>
      <w:r>
        <w:rPr>
          <w:rFonts w:ascii="Times New Roman" w:hAnsi="Times New Roman"/>
          <w:sz w:val="20"/>
        </w:rPr>
        <w:t xml:space="preserve"> </w:t>
      </w:r>
      <w:r>
        <w:br w:type="page"/>
      </w:r>
    </w:p>
    <w:p>
      <w:pPr>
        <w:pStyle w:val="TextBody"/>
        <w:bidi w:val="0"/>
        <w:spacing w:lineRule="auto" w:line="240" w:before="0" w:after="0"/>
        <w:ind w:left="720" w:right="720" w:hanging="0"/>
        <w:jc w:val="right"/>
        <w:rPr/>
      </w:pPr>
      <w:r>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Certification of Chief Executive Officer</w:t>
      </w:r>
      <w:r>
        <w:rPr>
          <w:rFonts w:ascii="Times New Roman" w:hAnsi="Times New Roman"/>
          <w:sz w:val="20"/>
        </w:rPr>
        <w:t xml:space="preserve"> </w:t>
      </w:r>
    </w:p>
    <w:p>
      <w:pPr>
        <w:pStyle w:val="TextBody"/>
        <w:bidi w:val="0"/>
        <w:spacing w:lineRule="auto" w:line="240" w:before="0" w:after="0"/>
        <w:ind w:left="864" w:right="864" w:hanging="0"/>
        <w:jc w:val="center"/>
        <w:rPr>
          <w:rFonts w:ascii="Times New Roman" w:hAnsi="Times New Roman"/>
          <w:b/>
          <w:sz w:val="20"/>
        </w:rPr>
      </w:pPr>
      <w:r>
        <w:rPr>
          <w:rFonts w:ascii="Times New Roman" w:hAnsi="Times New Roman"/>
          <w:b/>
          <w:sz w:val="20"/>
        </w:rPr>
        <w:t xml:space="preserve">Pursuant to Section 906 of the Sarbanes-Oxley Act of 2002,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18 U.S.C. Section 1350</w:t>
      </w:r>
      <w:r>
        <w:rPr>
          <w:rFonts w:ascii="Times New Roman" w:hAnsi="Times New Roman"/>
          <w:sz w:val="20"/>
        </w:rPr>
        <w:t xml:space="preserve"> </w:t>
      </w:r>
    </w:p>
    <w:p>
      <w:pPr>
        <w:pStyle w:val="TextBody"/>
        <w:bidi w:val="0"/>
        <w:spacing w:lineRule="auto" w:line="240" w:before="0" w:after="0"/>
        <w:ind w:left="864" w:right="864" w:hanging="0"/>
        <w:jc w:val="center"/>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sz w:val="20"/>
        </w:rPr>
        <w:t xml:space="preserve">I, Michael J. Koss, Chief Executive Officer of Koss Corporation (the “Company”), hereby certify, pursuant to Section 906 of the Sarbanes-Oxley Act of 2002, 18 U.S.C. Section 1350 that to my knowledge: </w:t>
      </w:r>
    </w:p>
    <w:p>
      <w:pPr>
        <w:pStyle w:val="TextBody"/>
        <w:bidi w:val="0"/>
        <w:spacing w:lineRule="auto" w:line="240" w:before="0" w:after="0"/>
        <w:ind w:left="864" w:right="864" w:hanging="0"/>
        <w:jc w:val="left"/>
        <w:rPr/>
      </w:pPr>
      <w:r>
        <w:rPr/>
        <w:t xml:space="preserve">  </w:t>
      </w:r>
    </w:p>
    <w:tbl>
      <w:tblPr>
        <w:tblW w:w="8765" w:type="dxa"/>
        <w:jc w:val="left"/>
        <w:tblInd w:w="720" w:type="dxa"/>
        <w:tblLayout w:type="fixed"/>
        <w:tblCellMar>
          <w:top w:w="0" w:type="dxa"/>
          <w:left w:w="0" w:type="dxa"/>
          <w:bottom w:w="0" w:type="dxa"/>
          <w:right w:w="0" w:type="dxa"/>
        </w:tblCellMar>
      </w:tblPr>
      <w:tblGrid>
        <w:gridCol w:w="38"/>
        <w:gridCol w:w="466"/>
        <w:gridCol w:w="23"/>
        <w:gridCol w:w="8238"/>
      </w:tblGrid>
      <w:tr>
        <w:trPr/>
        <w:tc>
          <w:tcPr>
            <w:tcW w:w="38" w:type="dxa"/>
            <w:tcBorders/>
            <w:vAlign w:val="center"/>
          </w:tcPr>
          <w:p>
            <w:pPr>
              <w:pStyle w:val="TableContents"/>
              <w:bidi w:val="0"/>
              <w:spacing w:before="0" w:after="283"/>
              <w:jc w:val="left"/>
              <w:rPr>
                <w:sz w:val="4"/>
                <w:szCs w:val="4"/>
              </w:rPr>
            </w:pPr>
            <w:r>
              <w:rPr>
                <w:sz w:val="4"/>
                <w:szCs w:val="4"/>
              </w:rPr>
            </w:r>
          </w:p>
        </w:tc>
        <w:tc>
          <w:tcPr>
            <w:tcW w:w="466"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b w:val="false"/>
                <w:i w:val="false"/>
                <w:caps w:val="false"/>
                <w:smallCaps w:val="false"/>
                <w:sz w:val="20"/>
              </w:rPr>
              <w:t>(i)</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238" w:type="dxa"/>
            <w:tcBorders/>
          </w:tcPr>
          <w:p>
            <w:pPr>
              <w:pStyle w:val="TableContents"/>
              <w:bidi w:val="0"/>
              <w:spacing w:lineRule="auto" w:line="240" w:before="0" w:after="240"/>
              <w:ind w:left="0" w:right="144" w:hanging="0"/>
              <w:jc w:val="left"/>
              <w:rPr>
                <w:rFonts w:ascii="Times New Roman" w:hAnsi="Times New Roman"/>
                <w:sz w:val="20"/>
              </w:rPr>
            </w:pPr>
            <w:r>
              <w:rPr>
                <w:rFonts w:ascii="Times New Roman" w:hAnsi="Times New Roman"/>
                <w:color w:val="000000"/>
                <w:sz w:val="20"/>
              </w:rPr>
              <w:t xml:space="preserve">the Quarterly Report on Form 10-Q of the Company for the quarter ended </w:t>
            </w:r>
            <w:bookmarkStart w:id="29" w:name="led29080F20203151586979829033"/>
            <w:bookmarkEnd w:id="29"/>
            <w:r>
              <w:rPr>
                <w:rFonts w:ascii="Times New Roman" w:hAnsi="Times New Roman"/>
                <w:color w:val="000000"/>
                <w:sz w:val="20"/>
              </w:rPr>
              <w:t>September 30, 2025 (the “Report”) fully complies with the requirements of Section 13(a) or Section 15(d), as applicable, of the Securities Exchange Act of 1934, as amended; and</w:t>
            </w:r>
          </w:p>
        </w:tc>
      </w:tr>
    </w:tbl>
    <w:tbl>
      <w:tblPr>
        <w:tblW w:w="8765" w:type="dxa"/>
        <w:jc w:val="left"/>
        <w:tblInd w:w="720" w:type="dxa"/>
        <w:tblLayout w:type="fixed"/>
        <w:tblCellMar>
          <w:top w:w="0" w:type="dxa"/>
          <w:left w:w="0" w:type="dxa"/>
          <w:bottom w:w="0" w:type="dxa"/>
          <w:right w:w="0" w:type="dxa"/>
        </w:tblCellMar>
      </w:tblPr>
      <w:tblGrid>
        <w:gridCol w:w="38"/>
        <w:gridCol w:w="556"/>
        <w:gridCol w:w="23"/>
        <w:gridCol w:w="8148"/>
      </w:tblGrid>
      <w:tr>
        <w:trPr/>
        <w:tc>
          <w:tcPr>
            <w:tcW w:w="38" w:type="dxa"/>
            <w:tcBorders/>
            <w:vAlign w:val="center"/>
          </w:tcPr>
          <w:p>
            <w:pPr>
              <w:pStyle w:val="TableContents"/>
              <w:bidi w:val="0"/>
              <w:spacing w:before="0" w:after="283"/>
              <w:jc w:val="left"/>
              <w:rPr>
                <w:sz w:val="4"/>
                <w:szCs w:val="4"/>
              </w:rPr>
            </w:pPr>
            <w:r>
              <w:rPr>
                <w:sz w:val="4"/>
                <w:szCs w:val="4"/>
              </w:rPr>
            </w:r>
          </w:p>
        </w:tc>
        <w:tc>
          <w:tcPr>
            <w:tcW w:w="556"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b w:val="false"/>
                <w:i w:val="false"/>
                <w:caps w:val="false"/>
                <w:smallCaps w:val="false"/>
                <w:sz w:val="20"/>
              </w:rPr>
              <w:t>(ii)</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148" w:type="dxa"/>
            <w:tcBorders/>
          </w:tcPr>
          <w:p>
            <w:pPr>
              <w:pStyle w:val="TableContents"/>
              <w:bidi w:val="0"/>
              <w:spacing w:lineRule="auto" w:line="240" w:before="0" w:after="240"/>
              <w:ind w:left="0" w:right="144" w:hanging="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tbl>
      <w:tblPr>
        <w:tblW w:w="3275" w:type="dxa"/>
        <w:jc w:val="left"/>
        <w:tblInd w:w="720" w:type="dxa"/>
        <w:tblLayout w:type="fixed"/>
        <w:tblCellMar>
          <w:top w:w="0" w:type="dxa"/>
          <w:left w:w="0" w:type="dxa"/>
          <w:bottom w:w="0" w:type="dxa"/>
          <w:right w:w="0" w:type="dxa"/>
        </w:tblCellMar>
      </w:tblPr>
      <w:tblGrid>
        <w:gridCol w:w="135"/>
        <w:gridCol w:w="3140"/>
      </w:tblGrid>
      <w:tr>
        <w:trPr/>
        <w:tc>
          <w:tcPr>
            <w:tcW w:w="135" w:type="dxa"/>
            <w:tcBorders/>
            <w:vAlign w:val="bottom"/>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3140" w:type="dxa"/>
            <w:tcBorders/>
            <w:vAlign w:val="bottom"/>
          </w:tcPr>
          <w:p>
            <w:pPr>
              <w:pStyle w:val="TableContents"/>
              <w:bidi w:val="0"/>
              <w:spacing w:lineRule="auto" w:line="240" w:before="0" w:after="0"/>
              <w:ind w:left="0" w:right="0" w:hanging="0"/>
              <w:jc w:val="left"/>
              <w:rPr/>
            </w:pPr>
            <w:r>
              <w:rPr/>
              <w:t> </w:t>
            </w:r>
          </w:p>
        </w:tc>
      </w:tr>
      <w:tr>
        <w:trPr/>
        <w:tc>
          <w:tcPr>
            <w:tcW w:w="135" w:type="dxa"/>
            <w:tcBorders/>
            <w:vAlign w:val="bottom"/>
          </w:tcPr>
          <w:p>
            <w:pPr>
              <w:pStyle w:val="TableContents"/>
              <w:bidi w:val="0"/>
              <w:spacing w:lineRule="auto" w:line="240" w:before="0" w:after="0"/>
              <w:ind w:left="0" w:right="0" w:hanging="0"/>
              <w:jc w:val="left"/>
              <w:rPr/>
            </w:pPr>
            <w:r>
              <w:rPr/>
              <w:t>  </w:t>
            </w:r>
          </w:p>
        </w:tc>
        <w:tc>
          <w:tcPr>
            <w:tcW w:w="3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Michael J. Koss</w:t>
            </w:r>
          </w:p>
        </w:tc>
      </w:tr>
      <w:tr>
        <w:trPr/>
        <w:tc>
          <w:tcPr>
            <w:tcW w:w="135" w:type="dxa"/>
            <w:tcBorders/>
            <w:vAlign w:val="bottom"/>
          </w:tcPr>
          <w:p>
            <w:pPr>
              <w:pStyle w:val="TableContents"/>
              <w:bidi w:val="0"/>
              <w:spacing w:lineRule="auto" w:line="240" w:before="0" w:after="0"/>
              <w:ind w:left="0" w:right="0" w:hanging="0"/>
              <w:jc w:val="left"/>
              <w:rPr/>
            </w:pPr>
            <w:r>
              <w:rPr/>
              <w:t> </w:t>
            </w:r>
          </w:p>
        </w:tc>
        <w:tc>
          <w:tcPr>
            <w:tcW w:w="3140"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Michael J. Koss</w:t>
            </w:r>
          </w:p>
        </w:tc>
      </w:tr>
      <w:tr>
        <w:trPr/>
        <w:tc>
          <w:tcPr>
            <w:tcW w:w="135" w:type="dxa"/>
            <w:tcBorders/>
            <w:vAlign w:val="bottom"/>
          </w:tcPr>
          <w:p>
            <w:pPr>
              <w:pStyle w:val="TableContents"/>
              <w:bidi w:val="0"/>
              <w:spacing w:lineRule="auto" w:line="240" w:before="0" w:after="0"/>
              <w:ind w:left="0" w:right="0" w:hanging="0"/>
              <w:jc w:val="left"/>
              <w:rPr/>
            </w:pPr>
            <w:r>
              <w:rPr/>
              <w:t> </w:t>
            </w:r>
          </w:p>
        </w:tc>
        <w:tc>
          <w:tcPr>
            <w:tcW w:w="3140"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135" w:type="dxa"/>
            <w:tcBorders/>
            <w:vAlign w:val="bottom"/>
          </w:tcPr>
          <w:p>
            <w:pPr>
              <w:pStyle w:val="TableContents"/>
              <w:bidi w:val="0"/>
              <w:spacing w:lineRule="auto" w:line="240" w:before="0" w:after="0"/>
              <w:ind w:left="0" w:right="0" w:hanging="0"/>
              <w:jc w:val="left"/>
              <w:rPr/>
            </w:pPr>
            <w:r>
              <w:rPr/>
              <w:t> </w:t>
            </w:r>
          </w:p>
        </w:tc>
        <w:tc>
          <w:tcPr>
            <w:tcW w:w="3140"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Dated: October 31, 2025</w:t>
            </w:r>
          </w:p>
        </w:tc>
      </w:tr>
    </w:tbl>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720" w:right="864"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spacing w:lineRule="auto" w:line="240" w:before="0" w:after="0"/>
        <w:ind w:left="720" w:right="720" w:hanging="0"/>
        <w:jc w:val="right"/>
        <w:rPr>
          <w:rFonts w:ascii="Times New Roman" w:hAnsi="Times New Roman"/>
          <w:sz w:val="20"/>
        </w:rPr>
      </w:pPr>
      <w:bookmarkStart w:id="30" w:name="koss-20250930xex32_2.htm"/>
      <w:bookmarkStart w:id="31" w:name="kskoss20250930xex32_2"/>
      <w:bookmarkEnd w:id="30"/>
      <w:bookmarkEnd w:id="31"/>
      <w:r>
        <w:rPr>
          <w:rFonts w:ascii="Times New Roman" w:hAnsi="Times New Roman"/>
          <w:b/>
          <w:sz w:val="20"/>
        </w:rPr>
        <w:t>Exhibit 32.2</w:t>
      </w:r>
      <w:r>
        <w:rPr>
          <w:rFonts w:ascii="Times New Roman" w:hAnsi="Times New Roman"/>
          <w:sz w:val="20"/>
        </w:rPr>
        <w:t xml:space="preserve"> </w:t>
      </w:r>
      <w:r>
        <w:br w:type="page"/>
      </w:r>
    </w:p>
    <w:p>
      <w:pPr>
        <w:pStyle w:val="TextBody"/>
        <w:bidi w:val="0"/>
        <w:spacing w:lineRule="auto" w:line="240" w:before="0" w:after="0"/>
        <w:ind w:left="720" w:right="720" w:hanging="0"/>
        <w:jc w:val="right"/>
        <w:rPr/>
      </w:pPr>
      <w:r>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Certification of Chief Financial Officer</w:t>
      </w:r>
      <w:r>
        <w:rPr>
          <w:rFonts w:ascii="Times New Roman" w:hAnsi="Times New Roman"/>
          <w:sz w:val="20"/>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Pursuant to Section 906 of the Sarbanes-Oxley Act of 2002, </w:t>
      </w:r>
      <w:r>
        <w:rPr>
          <w:rFonts w:ascii="Times New Roman" w:hAnsi="Times New Roman"/>
          <w:sz w:val="20"/>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18 U.S.C. Section 1350</w:t>
      </w:r>
      <w:r>
        <w:rPr>
          <w:rFonts w:ascii="Times New Roman" w:hAnsi="Times New Roman"/>
          <w:sz w:val="20"/>
        </w:rPr>
        <w:t xml:space="preserve"> </w:t>
      </w:r>
    </w:p>
    <w:p>
      <w:pPr>
        <w:pStyle w:val="TextBody"/>
        <w:bidi w:val="0"/>
        <w:spacing w:lineRule="auto" w:line="240" w:before="0" w:after="0"/>
        <w:ind w:left="864" w:right="864" w:hanging="0"/>
        <w:jc w:val="center"/>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sz w:val="20"/>
        </w:rPr>
        <w:t xml:space="preserve">I, Kim M. Schulte, Chief Financial Officer of Koss Corporation (the “Company”), hereby certify, pursuant to Section 906 of the Sarbanes-Oxley Act of 2002, 18 U.S.C. Section 1350 that to my knowledge: </w:t>
      </w:r>
    </w:p>
    <w:p>
      <w:pPr>
        <w:pStyle w:val="TextBody"/>
        <w:bidi w:val="0"/>
        <w:spacing w:lineRule="auto" w:line="240" w:before="0" w:after="0"/>
        <w:ind w:left="864" w:right="864" w:hanging="0"/>
        <w:jc w:val="left"/>
        <w:rPr/>
      </w:pPr>
      <w:r>
        <w:rPr/>
        <w:t xml:space="preserve">  </w:t>
      </w:r>
    </w:p>
    <w:tbl>
      <w:tblPr>
        <w:tblW w:w="8765" w:type="dxa"/>
        <w:jc w:val="left"/>
        <w:tblInd w:w="720" w:type="dxa"/>
        <w:tblLayout w:type="fixed"/>
        <w:tblCellMar>
          <w:top w:w="0" w:type="dxa"/>
          <w:left w:w="0" w:type="dxa"/>
          <w:bottom w:w="0" w:type="dxa"/>
          <w:right w:w="0" w:type="dxa"/>
        </w:tblCellMar>
      </w:tblPr>
      <w:tblGrid>
        <w:gridCol w:w="38"/>
        <w:gridCol w:w="466"/>
        <w:gridCol w:w="23"/>
        <w:gridCol w:w="8238"/>
      </w:tblGrid>
      <w:tr>
        <w:trPr/>
        <w:tc>
          <w:tcPr>
            <w:tcW w:w="38" w:type="dxa"/>
            <w:tcBorders/>
            <w:vAlign w:val="center"/>
          </w:tcPr>
          <w:p>
            <w:pPr>
              <w:pStyle w:val="TableContents"/>
              <w:bidi w:val="0"/>
              <w:spacing w:before="0" w:after="283"/>
              <w:jc w:val="left"/>
              <w:rPr>
                <w:sz w:val="4"/>
                <w:szCs w:val="4"/>
              </w:rPr>
            </w:pPr>
            <w:r>
              <w:rPr>
                <w:sz w:val="4"/>
                <w:szCs w:val="4"/>
              </w:rPr>
            </w:r>
          </w:p>
        </w:tc>
        <w:tc>
          <w:tcPr>
            <w:tcW w:w="466"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b w:val="false"/>
                <w:i w:val="false"/>
                <w:caps w:val="false"/>
                <w:smallCaps w:val="false"/>
                <w:sz w:val="20"/>
              </w:rPr>
              <w:t>(i)</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238" w:type="dxa"/>
            <w:tcBorders/>
          </w:tcPr>
          <w:p>
            <w:pPr>
              <w:pStyle w:val="TableContents"/>
              <w:bidi w:val="0"/>
              <w:spacing w:lineRule="auto" w:line="240" w:before="0" w:after="240"/>
              <w:ind w:left="0" w:right="144" w:hanging="0"/>
              <w:jc w:val="left"/>
              <w:rPr>
                <w:rFonts w:ascii="Times New Roman" w:hAnsi="Times New Roman"/>
                <w:sz w:val="20"/>
              </w:rPr>
            </w:pPr>
            <w:r>
              <w:rPr>
                <w:rFonts w:ascii="Times New Roman" w:hAnsi="Times New Roman"/>
                <w:color w:val="000000"/>
                <w:sz w:val="20"/>
              </w:rPr>
              <w:t xml:space="preserve">the Quarterly Report on Form 10-Q of the Company for the quarter </w:t>
            </w:r>
            <w:bookmarkStart w:id="32" w:name="led29080F20203151586979857379"/>
            <w:bookmarkEnd w:id="32"/>
            <w:r>
              <w:rPr>
                <w:rFonts w:ascii="Times New Roman" w:hAnsi="Times New Roman"/>
                <w:color w:val="000000"/>
                <w:sz w:val="20"/>
              </w:rPr>
              <w:t>ended September 30, 2025 (the “Report”) fully complies with the requirements of Section 13(a) or Section 15(d), as applicable, of the Securities Exchange Act of 1934, as amended; and</w:t>
            </w:r>
          </w:p>
        </w:tc>
      </w:tr>
    </w:tbl>
    <w:tbl>
      <w:tblPr>
        <w:tblW w:w="8765" w:type="dxa"/>
        <w:jc w:val="left"/>
        <w:tblInd w:w="720" w:type="dxa"/>
        <w:tblLayout w:type="fixed"/>
        <w:tblCellMar>
          <w:top w:w="0" w:type="dxa"/>
          <w:left w:w="0" w:type="dxa"/>
          <w:bottom w:w="0" w:type="dxa"/>
          <w:right w:w="0" w:type="dxa"/>
        </w:tblCellMar>
      </w:tblPr>
      <w:tblGrid>
        <w:gridCol w:w="38"/>
        <w:gridCol w:w="556"/>
        <w:gridCol w:w="23"/>
        <w:gridCol w:w="8148"/>
      </w:tblGrid>
      <w:tr>
        <w:trPr/>
        <w:tc>
          <w:tcPr>
            <w:tcW w:w="38" w:type="dxa"/>
            <w:tcBorders/>
            <w:vAlign w:val="center"/>
          </w:tcPr>
          <w:p>
            <w:pPr>
              <w:pStyle w:val="TableContents"/>
              <w:bidi w:val="0"/>
              <w:spacing w:before="0" w:after="283"/>
              <w:jc w:val="left"/>
              <w:rPr>
                <w:sz w:val="4"/>
                <w:szCs w:val="4"/>
              </w:rPr>
            </w:pPr>
            <w:r>
              <w:rPr>
                <w:sz w:val="4"/>
                <w:szCs w:val="4"/>
              </w:rPr>
            </w:r>
          </w:p>
        </w:tc>
        <w:tc>
          <w:tcPr>
            <w:tcW w:w="556" w:type="dxa"/>
            <w:tcBorders/>
          </w:tcPr>
          <w:p>
            <w:pPr>
              <w:pStyle w:val="TableContents"/>
              <w:bidi w:val="0"/>
              <w:spacing w:lineRule="auto" w:line="240" w:before="0" w:after="240"/>
              <w:ind w:left="0" w:right="288" w:hanging="0"/>
              <w:jc w:val="left"/>
              <w:rPr>
                <w:rFonts w:ascii="Times New Roman" w:hAnsi="Times New Roman"/>
                <w:sz w:val="20"/>
              </w:rPr>
            </w:pPr>
            <w:r>
              <w:rPr>
                <w:rFonts w:ascii="Times New Roman" w:hAnsi="Times New Roman"/>
                <w:b w:val="false"/>
                <w:i w:val="false"/>
                <w:caps w:val="false"/>
                <w:smallCaps w:val="false"/>
                <w:sz w:val="20"/>
              </w:rPr>
              <w:t>(ii)</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148" w:type="dxa"/>
            <w:tcBorders/>
          </w:tcPr>
          <w:p>
            <w:pPr>
              <w:pStyle w:val="TableContents"/>
              <w:bidi w:val="0"/>
              <w:spacing w:lineRule="auto" w:line="240" w:before="0" w:after="240"/>
              <w:ind w:left="0" w:right="144" w:hanging="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tbl>
      <w:tblPr>
        <w:tblW w:w="2105" w:type="dxa"/>
        <w:jc w:val="left"/>
        <w:tblInd w:w="720" w:type="dxa"/>
        <w:tblLayout w:type="fixed"/>
        <w:tblCellMar>
          <w:top w:w="0" w:type="dxa"/>
          <w:left w:w="0" w:type="dxa"/>
          <w:bottom w:w="0" w:type="dxa"/>
          <w:right w:w="0" w:type="dxa"/>
        </w:tblCellMar>
      </w:tblPr>
      <w:tblGrid>
        <w:gridCol w:w="75"/>
        <w:gridCol w:w="2030"/>
      </w:tblGrid>
      <w:tr>
        <w:trPr/>
        <w:tc>
          <w:tcPr>
            <w:tcW w:w="75" w:type="dxa"/>
            <w:tcBorders/>
            <w:vAlign w:val="bottom"/>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2030" w:type="dxa"/>
            <w:tcBorders/>
            <w:vAlign w:val="bottom"/>
          </w:tcPr>
          <w:p>
            <w:pPr>
              <w:pStyle w:val="TableContents"/>
              <w:bidi w:val="0"/>
              <w:spacing w:lineRule="auto" w:line="240" w:before="0" w:after="0"/>
              <w:ind w:left="0" w:right="0" w:hanging="0"/>
              <w:jc w:val="left"/>
              <w:rPr/>
            </w:pPr>
            <w:r>
              <w:rPr/>
              <w:t> </w:t>
            </w:r>
          </w:p>
        </w:tc>
      </w:tr>
      <w:tr>
        <w:trPr/>
        <w:tc>
          <w:tcPr>
            <w:tcW w:w="75" w:type="dxa"/>
            <w:tcBorders/>
            <w:vAlign w:val="bottom"/>
          </w:tcPr>
          <w:p>
            <w:pPr>
              <w:pStyle w:val="TableContents"/>
              <w:bidi w:val="0"/>
              <w:spacing w:lineRule="auto" w:line="240" w:before="0" w:after="0"/>
              <w:ind w:left="0" w:right="0" w:hanging="0"/>
              <w:jc w:val="left"/>
              <w:rPr/>
            </w:pPr>
            <w:r>
              <w:rPr/>
              <w:t> </w:t>
            </w:r>
          </w:p>
        </w:tc>
        <w:tc>
          <w:tcPr>
            <w:tcW w:w="203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Kim M. Schulte</w:t>
            </w:r>
          </w:p>
        </w:tc>
      </w:tr>
      <w:tr>
        <w:trPr/>
        <w:tc>
          <w:tcPr>
            <w:tcW w:w="75" w:type="dxa"/>
            <w:tcBorders/>
            <w:vAlign w:val="bottom"/>
          </w:tcPr>
          <w:p>
            <w:pPr>
              <w:pStyle w:val="TableContents"/>
              <w:bidi w:val="0"/>
              <w:spacing w:lineRule="auto" w:line="240" w:before="0" w:after="0"/>
              <w:ind w:left="0" w:right="0" w:hanging="0"/>
              <w:jc w:val="left"/>
              <w:rPr/>
            </w:pPr>
            <w:r>
              <w:rPr/>
              <w:t> </w:t>
            </w:r>
          </w:p>
        </w:tc>
        <w:tc>
          <w:tcPr>
            <w:tcW w:w="2030"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Kim M. Schulte</w:t>
            </w:r>
          </w:p>
        </w:tc>
      </w:tr>
      <w:tr>
        <w:trPr/>
        <w:tc>
          <w:tcPr>
            <w:tcW w:w="75" w:type="dxa"/>
            <w:tcBorders/>
            <w:vAlign w:val="bottom"/>
          </w:tcPr>
          <w:p>
            <w:pPr>
              <w:pStyle w:val="TableContents"/>
              <w:bidi w:val="0"/>
              <w:spacing w:lineRule="auto" w:line="240" w:before="0" w:after="0"/>
              <w:ind w:left="0" w:right="0" w:hanging="0"/>
              <w:jc w:val="left"/>
              <w:rPr/>
            </w:pPr>
            <w:r>
              <w:rPr/>
              <w:t> </w:t>
            </w:r>
          </w:p>
        </w:tc>
        <w:tc>
          <w:tcPr>
            <w:tcW w:w="2030"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Chief Financial Officer</w:t>
            </w:r>
          </w:p>
        </w:tc>
      </w:tr>
      <w:tr>
        <w:trPr/>
        <w:tc>
          <w:tcPr>
            <w:tcW w:w="75" w:type="dxa"/>
            <w:tcBorders/>
            <w:vAlign w:val="bottom"/>
          </w:tcPr>
          <w:p>
            <w:pPr>
              <w:pStyle w:val="TableContents"/>
              <w:bidi w:val="0"/>
              <w:spacing w:lineRule="auto" w:line="240" w:before="0" w:after="0"/>
              <w:ind w:left="0" w:right="0" w:hanging="0"/>
              <w:jc w:val="left"/>
              <w:rPr/>
            </w:pPr>
            <w:r>
              <w:rPr/>
              <w:t> </w:t>
            </w:r>
          </w:p>
        </w:tc>
        <w:tc>
          <w:tcPr>
            <w:tcW w:w="2030"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Dated: October 31, 2025</w:t>
            </w:r>
          </w:p>
        </w:tc>
      </w:tr>
    </w:tbl>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720" w:right="864" w:hanging="0"/>
        <w:jc w:val="left"/>
        <w:rPr/>
      </w:pPr>
      <w:r>
        <w:rPr/>
        <w:t xml:space="preserve">  </w:t>
      </w:r>
    </w:p>
    <w:p>
      <w:pPr>
        <w:pStyle w:val="HorizontalLine"/>
        <w:pBdr>
          <w:bottom w:val="double" w:sz="6" w:space="0" w:color="808080"/>
        </w:pBdr>
        <w:bidi w:val="0"/>
        <w:spacing w:before="0" w:after="283"/>
        <w:ind w:left="720" w:right="72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56701/000110465910007400/a10-3870_1ex3d1.htm" TargetMode="External"/><Relationship Id="rId3" Type="http://schemas.openxmlformats.org/officeDocument/2006/relationships/hyperlink" Target="http://www.sec.gov/Archives/edgar/data/56701/0000950124-96-004183.txt" TargetMode="External"/><Relationship Id="rId4" Type="http://schemas.openxmlformats.org/officeDocument/2006/relationships/hyperlink" Target="http://www.sec.gov/Archives/edgar/data/56701/000118143106017205/rrd110598_12229.htm" TargetMode="External"/><Relationship Id="rId5" Type="http://schemas.openxmlformats.org/officeDocument/2006/relationships/hyperlink" Target="http://www.sec.gov/Archives/edgar/data/56701/000143774920018841/ex_201043.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11645</Words>
  <Characters>65841</Characters>
  <CharactersWithSpaces>76829</CharactersWithSpaces>
  <Paragraphs>1340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