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ind w:left="3720" w:right="1700" w:hanging="3712"/>
        <w:spacing w:after="0" w:line="27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2025</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380" w:right="1700" w:hanging="4372"/>
        <w:spacing w:after="0" w:line="255" w:lineRule="auto"/>
        <w:tabs>
          <w:tab w:leader="none" w:pos="34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0-3295</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KOSS CORPORATION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2"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50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39-1168275</w:t>
            </w:r>
          </w:p>
        </w:tc>
      </w:tr>
      <w:tr>
        <w:trPr>
          <w:trHeight w:val="189"/>
        </w:trPr>
        <w:tc>
          <w:tcPr>
            <w:tcW w:w="5040" w:type="dxa"/>
            <w:vAlign w:val="bottom"/>
          </w:tcPr>
          <w:p>
            <w:pPr>
              <w:jc w:val="center"/>
              <w:ind w:right="111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860" w:type="dxa"/>
            <w:vAlign w:val="bottom"/>
          </w:tcPr>
          <w:p>
            <w:pPr>
              <w:jc w:val="center"/>
              <w:ind w:left="1170"/>
              <w:spacing w:after="0" w:line="18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860" w:type="dxa"/>
            <w:vAlign w:val="bottom"/>
          </w:tcPr>
          <w:p>
            <w:pPr>
              <w:spacing w:after="0"/>
              <w:rPr>
                <w:sz w:val="20"/>
                <w:szCs w:val="20"/>
                <w:color w:val="auto"/>
              </w:rPr>
            </w:pPr>
          </w:p>
        </w:tc>
      </w:tr>
      <w:tr>
        <w:trPr>
          <w:trHeight w:val="450"/>
        </w:trPr>
        <w:tc>
          <w:tcPr>
            <w:tcW w:w="504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4129 North Port Washington Avenue, Milwaukee,</w:t>
            </w:r>
          </w:p>
        </w:tc>
        <w:tc>
          <w:tcPr>
            <w:tcW w:w="3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07"/>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860" w:type="dxa"/>
            <w:vAlign w:val="bottom"/>
          </w:tcPr>
          <w:p>
            <w:pPr>
              <w:spacing w:after="0"/>
              <w:rPr>
                <w:sz w:val="17"/>
                <w:szCs w:val="17"/>
                <w:color w:val="auto"/>
              </w:rPr>
            </w:pPr>
          </w:p>
        </w:tc>
      </w:tr>
      <w:tr>
        <w:trPr>
          <w:trHeight w:val="234"/>
        </w:trPr>
        <w:tc>
          <w:tcPr>
            <w:tcW w:w="50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964-5000</w:t>
      </w:r>
    </w:p>
    <w:p>
      <w:pPr>
        <w:spacing w:after="0" w:line="9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06"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38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8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Common Stock, par value $0.005 per share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KOSS</w:t>
            </w:r>
          </w:p>
        </w:tc>
        <w:tc>
          <w:tcPr>
            <w:tcW w:w="3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ind w:right="20" w:firstLine="324"/>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324"/>
        <w:spacing w:after="0" w:line="2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216" w:right="379" w:bottom="1440" w:gutter="0" w:footer="0" w:header="0"/>
        </w:sectPr>
      </w:pPr>
    </w:p>
    <w:p>
      <w:pPr>
        <w:spacing w:after="0" w:line="22" w:lineRule="exact"/>
        <w:rPr>
          <w:sz w:val="24"/>
          <w:szCs w:val="24"/>
          <w:color w:val="auto"/>
        </w:rPr>
      </w:pPr>
    </w:p>
    <w:p>
      <w:pPr>
        <w:ind w:left="18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7120" w:space="720"/>
            <w:col w:w="3360"/>
          </w:cols>
          <w:pgMar w:left="320" w:top="216" w:right="379" w:bottom="1440" w:gutter="0" w:footer="0" w:header="0"/>
          <w:type w:val="continuous"/>
        </w:sectPr>
      </w:pPr>
    </w:p>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6740" w:space="720"/>
            <w:col w:w="3740"/>
          </w:cols>
          <w:pgMar w:left="320" w:top="216" w:right="379" w:bottom="1440" w:gutter="0" w:footer="0" w:header="0"/>
          <w:type w:val="continuous"/>
        </w:sectPr>
      </w:pPr>
    </w:p>
    <w:p>
      <w:pPr>
        <w:ind w:left="74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00"/>
          </w:cols>
          <w:pgMar w:left="320" w:top="216" w:right="379" w:bottom="1440" w:gutter="0" w:footer="0" w:header="0"/>
          <w:type w:val="continuous"/>
        </w:sectPr>
      </w:pPr>
    </w:p>
    <w:p>
      <w:pPr>
        <w:spacing w:after="0" w:line="331" w:lineRule="exact"/>
        <w:rPr>
          <w:sz w:val="24"/>
          <w:szCs w:val="24"/>
          <w:color w:val="auto"/>
        </w:rPr>
      </w:pPr>
    </w:p>
    <w:p>
      <w:pPr>
        <w:ind w:right="14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6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January 26, 2026, there were 9,466,438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7"/>
        </w:trPr>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69"/>
        </w:trPr>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gridSpan w:val="7"/>
          </w:tcPr>
          <w:p>
            <w:pPr>
              <w:jc w:val="center"/>
              <w:ind w:right="3200"/>
              <w:spacing w:after="0"/>
              <w:rPr>
                <w:sz w:val="20"/>
                <w:szCs w:val="20"/>
                <w:color w:val="auto"/>
              </w:rPr>
            </w:pPr>
            <w:r>
              <w:rPr>
                <w:rFonts w:ascii="Times New Roman" w:cs="Times New Roman" w:eastAsia="Times New Roman" w:hAnsi="Times New Roman"/>
                <w:sz w:val="18"/>
                <w:szCs w:val="18"/>
                <w:color w:val="auto"/>
                <w:w w:val="98"/>
              </w:rPr>
              <w:t>KOSS CORPORATION</w:t>
            </w:r>
          </w:p>
        </w:tc>
        <w:tc>
          <w:tcPr>
            <w:tcW w:w="940" w:type="dxa"/>
            <w:vAlign w:val="bottom"/>
          </w:tcPr>
          <w:p>
            <w:pPr>
              <w:spacing w:after="0"/>
              <w:rPr>
                <w:sz w:val="24"/>
                <w:szCs w:val="24"/>
                <w:color w:val="auto"/>
              </w:rPr>
            </w:pPr>
          </w:p>
        </w:tc>
      </w:tr>
      <w:tr>
        <w:trPr>
          <w:trHeight w:val="189"/>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160" w:type="dxa"/>
            <w:vAlign w:val="bottom"/>
            <w:gridSpan w:val="7"/>
          </w:tcPr>
          <w:p>
            <w:pPr>
              <w:jc w:val="center"/>
              <w:ind w:right="3200"/>
              <w:spacing w:after="0" w:line="189" w:lineRule="exact"/>
              <w:rPr>
                <w:sz w:val="20"/>
                <w:szCs w:val="20"/>
                <w:color w:val="auto"/>
              </w:rPr>
            </w:pPr>
            <w:r>
              <w:rPr>
                <w:rFonts w:ascii="Times New Roman" w:cs="Times New Roman" w:eastAsia="Times New Roman" w:hAnsi="Times New Roman"/>
                <w:sz w:val="18"/>
                <w:szCs w:val="18"/>
                <w:color w:val="auto"/>
                <w:w w:val="99"/>
              </w:rPr>
              <w:t>FORM 10-Q</w:t>
            </w:r>
          </w:p>
        </w:tc>
        <w:tc>
          <w:tcPr>
            <w:tcW w:w="94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160" w:type="dxa"/>
            <w:vAlign w:val="bottom"/>
            <w:gridSpan w:val="7"/>
          </w:tcPr>
          <w:p>
            <w:pPr>
              <w:jc w:val="center"/>
              <w:ind w:right="3180"/>
              <w:spacing w:after="0"/>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Pr>
          <w:p>
            <w:pPr>
              <w:spacing w:after="0"/>
              <w:rPr>
                <w:sz w:val="20"/>
                <w:szCs w:val="20"/>
                <w:color w:val="auto"/>
              </w:rPr>
            </w:pPr>
          </w:p>
        </w:tc>
      </w:tr>
      <w:tr>
        <w:trPr>
          <w:trHeight w:val="392"/>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gridSpan w:val="7"/>
          </w:tcPr>
          <w:p>
            <w:pPr>
              <w:jc w:val="center"/>
              <w:ind w:right="3200"/>
              <w:spacing w:after="0"/>
              <w:rPr>
                <w:sz w:val="20"/>
                <w:szCs w:val="20"/>
                <w:color w:val="auto"/>
              </w:rPr>
            </w:pPr>
            <w:r>
              <w:rPr>
                <w:rFonts w:ascii="Times New Roman" w:cs="Times New Roman" w:eastAsia="Times New Roman" w:hAnsi="Times New Roman"/>
                <w:sz w:val="18"/>
                <w:szCs w:val="18"/>
                <w:color w:val="auto"/>
                <w:w w:val="99"/>
              </w:rPr>
              <w:t>INDEX</w:t>
            </w:r>
          </w:p>
        </w:tc>
        <w:tc>
          <w:tcPr>
            <w:tcW w:w="940" w:type="dxa"/>
            <w:vAlign w:val="bottom"/>
          </w:tcPr>
          <w:p>
            <w:pPr>
              <w:spacing w:after="0"/>
              <w:rPr>
                <w:sz w:val="24"/>
                <w:szCs w:val="24"/>
                <w:color w:val="auto"/>
              </w:rPr>
            </w:pPr>
          </w:p>
        </w:tc>
      </w:tr>
      <w:tr>
        <w:trPr>
          <w:trHeight w:val="405"/>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Page</w:t>
            </w:r>
          </w:p>
        </w:tc>
      </w:tr>
      <w:tr>
        <w:trPr>
          <w:trHeight w:val="175"/>
        </w:trPr>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620" w:type="dxa"/>
            <w:vAlign w:val="bottom"/>
            <w:tcBorders>
              <w:left w:val="single" w:sz="8" w:color="CCEE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0000FF"/>
                <w:w w:val="99"/>
              </w:rPr>
              <w:t>PART I</w:t>
            </w:r>
          </w:p>
        </w:tc>
        <w:tc>
          <w:tcPr>
            <w:tcW w:w="260" w:type="dxa"/>
            <w:vAlign w:val="bottom"/>
            <w:shd w:val="clear" w:color="auto" w:fill="CCEEFF"/>
          </w:tcPr>
          <w:p>
            <w:pPr>
              <w:spacing w:after="0"/>
              <w:rPr>
                <w:sz w:val="14"/>
                <w:szCs w:val="14"/>
                <w:color w:val="auto"/>
              </w:rPr>
            </w:pPr>
          </w:p>
        </w:tc>
        <w:tc>
          <w:tcPr>
            <w:tcW w:w="942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FINANCIAL INFORMATION</w:t>
            </w:r>
          </w:p>
        </w:tc>
        <w:tc>
          <w:tcPr>
            <w:tcW w:w="9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27"/>
        </w:trPr>
        <w:tc>
          <w:tcPr>
            <w:tcW w:w="620" w:type="dxa"/>
            <w:vAlign w:val="bottom"/>
            <w:tcBorders>
              <w:left w:val="single" w:sz="8" w:color="CCEEFF"/>
              <w:right w:val="single" w:sz="8" w:color="CCEEFF"/>
            </w:tcBorders>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9"/>
        </w:trPr>
        <w:tc>
          <w:tcPr>
            <w:tcW w:w="62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140" w:type="dxa"/>
            <w:vAlign w:val="bottom"/>
            <w:tcBorders>
              <w:bottom w:val="single" w:sz="8" w:color="0000FF"/>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Condensed Consolidated Balance Sheets as of December 31, 2025 and June 30, 2025</w:t>
            </w:r>
          </w:p>
        </w:tc>
        <w:tc>
          <w:tcPr>
            <w:tcW w:w="2440" w:type="dxa"/>
            <w:vAlign w:val="bottom"/>
            <w:tcBorders>
              <w:bottom w:val="single" w:sz="8" w:color="CCEEFF"/>
            </w:tcBorders>
            <w:gridSpan w:val="4"/>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3</w:t>
            </w:r>
          </w:p>
        </w:tc>
      </w:tr>
      <w:tr>
        <w:trPr>
          <w:trHeight w:val="169"/>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December 31, 2025 and 2024</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4</w:t>
            </w: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500" w:type="dxa"/>
            <w:vAlign w:val="bottom"/>
            <w:tcBorders>
              <w:top w:val="single" w:sz="8" w:color="0000FF"/>
            </w:tcBorders>
            <w:gridSpan w:val="1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December 31, 2025 and 2024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5</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80" w:type="dxa"/>
            <w:vAlign w:val="bottom"/>
            <w:tcBorders>
              <w:bottom w:val="single" w:sz="8" w:color="0000FF"/>
            </w:tcBorders>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December 31, 2025</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rPr>
              <w:t>7</w:t>
            </w:r>
          </w:p>
        </w:tc>
      </w:tr>
      <w:tr>
        <w:trPr>
          <w:trHeight w:val="169"/>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58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and 2024</w:t>
            </w:r>
          </w:p>
        </w:tc>
        <w:tc>
          <w:tcPr>
            <w:tcW w:w="940" w:type="dxa"/>
            <w:vAlign w:val="bottom"/>
          </w:tcPr>
          <w:p>
            <w:pPr>
              <w:spacing w:after="0"/>
              <w:rPr>
                <w:sz w:val="14"/>
                <w:szCs w:val="14"/>
                <w:color w:val="auto"/>
              </w:rPr>
            </w:pPr>
          </w:p>
        </w:tc>
      </w:tr>
      <w:tr>
        <w:trPr>
          <w:trHeight w:val="21"/>
        </w:trPr>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9"/>
        </w:trPr>
        <w:tc>
          <w:tcPr>
            <w:tcW w:w="620" w:type="dxa"/>
            <w:vAlign w:val="bottom"/>
            <w:tcBorders>
              <w:left w:val="single" w:sz="8" w:color="CCEEFF"/>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000" w:type="dxa"/>
            <w:vAlign w:val="bottom"/>
            <w:tcBorders>
              <w:bottom w:val="single" w:sz="8" w:color="0000FF"/>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580" w:type="dxa"/>
            <w:vAlign w:val="bottom"/>
            <w:tcBorders>
              <w:bottom w:val="single" w:sz="8" w:color="CCEEFF"/>
            </w:tcBorders>
            <w:gridSpan w:val="6"/>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8</w:t>
            </w: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15</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3.</w:t>
            </w:r>
          </w:p>
        </w:tc>
        <w:tc>
          <w:tcPr>
            <w:tcW w:w="858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0" w:type="dxa"/>
            <w:vAlign w:val="bottom"/>
            <w:tcBorders>
              <w:left w:val="single" w:sz="8" w:color="0000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4.</w:t>
            </w: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9"/>
        </w:trPr>
        <w:tc>
          <w:tcPr>
            <w:tcW w:w="620" w:type="dxa"/>
            <w:vAlign w:val="bottom"/>
            <w:tcBorders>
              <w:left w:val="single" w:sz="8" w:color="CCEEFF"/>
              <w:bottom w:val="single" w:sz="8" w:color="0000FF"/>
              <w:right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0000FF"/>
                <w:w w:val="89"/>
              </w:rPr>
              <w:t>PART II</w:t>
            </w:r>
          </w:p>
        </w:tc>
        <w:tc>
          <w:tcPr>
            <w:tcW w:w="26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0000FF"/>
            </w:tcBorders>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7540" w:type="dxa"/>
            <w:vAlign w:val="bottom"/>
            <w:tcBorders>
              <w:bottom w:val="single" w:sz="8" w:color="CCEEFF"/>
            </w:tcBorders>
            <w:gridSpan w:val="10"/>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21</w:t>
            </w: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21</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6"/>
              </w:rPr>
              <w:t>Item 1A.</w:t>
            </w:r>
          </w:p>
        </w:tc>
        <w:tc>
          <w:tcPr>
            <w:tcW w:w="200" w:type="dxa"/>
            <w:vAlign w:val="bottom"/>
            <w:shd w:val="clear" w:color="auto" w:fill="CCEEFF"/>
          </w:tcPr>
          <w:p>
            <w:pPr>
              <w:spacing w:after="0"/>
              <w:rPr>
                <w:sz w:val="14"/>
                <w:szCs w:val="14"/>
                <w:color w:val="auto"/>
              </w:rPr>
            </w:pPr>
          </w:p>
        </w:tc>
        <w:tc>
          <w:tcPr>
            <w:tcW w:w="858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Borders>
              <w:left w:val="single" w:sz="8" w:color="CCEEFF"/>
              <w:righ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162"/>
        </w:trPr>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200" w:type="dxa"/>
            <w:vAlign w:val="bottom"/>
          </w:tcPr>
          <w:p>
            <w:pPr>
              <w:spacing w:after="0"/>
              <w:rPr>
                <w:sz w:val="14"/>
                <w:szCs w:val="14"/>
                <w:color w:val="auto"/>
              </w:rPr>
            </w:pPr>
          </w:p>
        </w:tc>
        <w:tc>
          <w:tcPr>
            <w:tcW w:w="8580" w:type="dxa"/>
            <w:vAlign w:val="bottom"/>
            <w:gridSpan w:val="14"/>
          </w:tcPr>
          <w:p>
            <w:pPr>
              <w:spacing w:after="0" w:line="16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22</w:t>
            </w:r>
          </w:p>
        </w:tc>
      </w:tr>
      <w:tr>
        <w:trPr>
          <w:trHeight w:val="27"/>
        </w:trPr>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9"/>
        </w:trPr>
        <w:tc>
          <w:tcPr>
            <w:tcW w:w="620" w:type="dxa"/>
            <w:vAlign w:val="bottom"/>
            <w:tcBorders>
              <w:left w:val="single" w:sz="8" w:color="CCEEFF"/>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6.</w:t>
            </w:r>
          </w:p>
        </w:tc>
        <w:tc>
          <w:tcPr>
            <w:tcW w:w="8580" w:type="dxa"/>
            <w:vAlign w:val="bottom"/>
            <w:gridSpan w:val="1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23</w:t>
            </w:r>
          </w:p>
        </w:tc>
      </w:tr>
      <w:tr>
        <w:trPr>
          <w:trHeight w:val="783"/>
        </w:trPr>
        <w:tc>
          <w:tcPr>
            <w:tcW w:w="6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400" w:type="dxa"/>
            <w:vAlign w:val="bottom"/>
            <w:tcBorders>
              <w:top w:val="single" w:sz="8" w:color="CCEEFF"/>
            </w:tcBorders>
            <w:gridSpan w:val="7"/>
          </w:tcPr>
          <w:p>
            <w:pPr>
              <w:jc w:val="center"/>
              <w:ind w:left="3110"/>
              <w:spacing w:after="0"/>
              <w:rPr>
                <w:sz w:val="20"/>
                <w:szCs w:val="20"/>
                <w:color w:val="auto"/>
              </w:rPr>
            </w:pPr>
            <w:r>
              <w:rPr>
                <w:rFonts w:ascii="Times New Roman" w:cs="Times New Roman" w:eastAsia="Times New Roman" w:hAnsi="Times New Roman"/>
                <w:sz w:val="18"/>
                <w:szCs w:val="18"/>
                <w:color w:val="auto"/>
                <w:w w:val="88"/>
              </w:rPr>
              <w:t>2</w:t>
            </w:r>
          </w:p>
        </w:tc>
        <w:tc>
          <w:tcPr>
            <w:tcW w:w="34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r>
      <w:tr>
        <w:trPr>
          <w:trHeight w:val="507"/>
        </w:trPr>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1280" w:type="dxa"/>
            <w:vAlign w:val="bottom"/>
            <w:tcBorders>
              <w:top w:val="single" w:sz="8" w:color="0000FF"/>
            </w:tcBorders>
          </w:tcPr>
          <w:p>
            <w:pPr>
              <w:spacing w:after="0"/>
              <w:rPr>
                <w:sz w:val="24"/>
                <w:szCs w:val="24"/>
                <w:color w:val="auto"/>
              </w:rPr>
            </w:pPr>
          </w:p>
        </w:tc>
        <w:tc>
          <w:tcPr>
            <w:tcW w:w="64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6480" w:type="dxa"/>
            <w:vAlign w:val="bottom"/>
          </w:tcPr>
          <w:p>
            <w:pPr>
              <w:jc w:val="center"/>
              <w:ind w:left="2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KOSS CORPORATION</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51"/>
        </w:trPr>
        <w:tc>
          <w:tcPr>
            <w:tcW w:w="7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2,464,838</w:t>
            </w:r>
          </w:p>
        </w:tc>
        <w:tc>
          <w:tcPr>
            <w:tcW w:w="3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2,807,797</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Short term investments</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13,005,592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12,879,882</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receivable, less allowance for credit losses of $2,043 at December 31, 2025 and June 30, 2025</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1,010,400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1,135,672</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4,838,377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4,885,067</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397,992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738,330</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129,831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121,178</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30,298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36,179</w:t>
            </w:r>
          </w:p>
        </w:tc>
        <w:tc>
          <w:tcPr>
            <w:tcW w:w="0" w:type="dxa"/>
            <w:vAlign w:val="bottom"/>
          </w:tcPr>
          <w:p>
            <w:pPr>
              <w:spacing w:after="0"/>
              <w:rPr>
                <w:sz w:val="1"/>
                <w:szCs w:val="1"/>
                <w:color w:val="auto"/>
              </w:rPr>
            </w:pPr>
          </w:p>
        </w:tc>
      </w:tr>
      <w:tr>
        <w:trPr>
          <w:trHeight w:val="183"/>
        </w:trPr>
        <w:tc>
          <w:tcPr>
            <w:tcW w:w="776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21,877,328</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22,604,105</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Equipment and leasehold improvements, net</w:t>
            </w:r>
          </w:p>
        </w:tc>
        <w:tc>
          <w:tcPr>
            <w:tcW w:w="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1,647,879</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1,476,898</w:t>
            </w:r>
          </w:p>
        </w:tc>
        <w:tc>
          <w:tcPr>
            <w:tcW w:w="0" w:type="dxa"/>
            <w:vAlign w:val="bottom"/>
          </w:tcPr>
          <w:p>
            <w:pPr>
              <w:spacing w:after="0"/>
              <w:rPr>
                <w:sz w:val="1"/>
                <w:szCs w:val="1"/>
                <w:color w:val="auto"/>
              </w:rPr>
            </w:pPr>
          </w:p>
        </w:tc>
      </w:tr>
      <w:tr>
        <w:trPr>
          <w:trHeight w:val="37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Long term investments</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3,994,317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4,000,774</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Finance lease right-of-use asset</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26,430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2,389,617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2,518,088</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surrender value of life insurance</w:t>
            </w: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6,834,107</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6,584,744</w:t>
            </w:r>
          </w:p>
        </w:tc>
        <w:tc>
          <w:tcPr>
            <w:tcW w:w="0" w:type="dxa"/>
            <w:vAlign w:val="bottom"/>
          </w:tcPr>
          <w:p>
            <w:pPr>
              <w:spacing w:after="0"/>
              <w:rPr>
                <w:sz w:val="1"/>
                <w:szCs w:val="1"/>
                <w:color w:val="auto"/>
              </w:rPr>
            </w:pPr>
          </w:p>
        </w:tc>
      </w:tr>
      <w:tr>
        <w:trPr>
          <w:trHeight w:val="183"/>
        </w:trPr>
        <w:tc>
          <w:tcPr>
            <w:tcW w:w="7760" w:type="dxa"/>
            <w:vAlign w:val="bottom"/>
            <w:gridSpan w:val="2"/>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13,244,471</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13,103,606</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36,769,678</w:t>
            </w:r>
          </w:p>
        </w:tc>
        <w:tc>
          <w:tcPr>
            <w:tcW w:w="3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37,184,609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489,946</w:t>
            </w:r>
          </w:p>
        </w:tc>
        <w:tc>
          <w:tcPr>
            <w:tcW w:w="3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819,330</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659,947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582,140</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249,113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242,644</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Finance lease liability</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10,151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259,282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252,579</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35,848</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42,958</w:t>
            </w:r>
          </w:p>
        </w:tc>
        <w:tc>
          <w:tcPr>
            <w:tcW w:w="0" w:type="dxa"/>
            <w:vAlign w:val="bottom"/>
          </w:tcPr>
          <w:p>
            <w:pPr>
              <w:spacing w:after="0"/>
              <w:rPr>
                <w:sz w:val="1"/>
                <w:szCs w:val="1"/>
                <w:color w:val="auto"/>
              </w:rPr>
            </w:pPr>
          </w:p>
        </w:tc>
      </w:tr>
      <w:tr>
        <w:trPr>
          <w:trHeight w:val="183"/>
        </w:trPr>
        <w:tc>
          <w:tcPr>
            <w:tcW w:w="7760" w:type="dxa"/>
            <w:vAlign w:val="bottom"/>
            <w:gridSpan w:val="2"/>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1,704,287</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1,939,651</w:t>
            </w:r>
          </w:p>
        </w:tc>
        <w:tc>
          <w:tcPr>
            <w:tcW w:w="0" w:type="dxa"/>
            <w:vAlign w:val="bottom"/>
          </w:tcPr>
          <w:p>
            <w:pPr>
              <w:spacing w:after="0"/>
              <w:rPr>
                <w:sz w:val="1"/>
                <w:szCs w:val="1"/>
                <w:color w:val="auto"/>
              </w:rPr>
            </w:pPr>
          </w:p>
        </w:tc>
      </w:tr>
      <w:tr>
        <w:trPr>
          <w:trHeight w:val="37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2,446,703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2,226,454</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133,166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119,314</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Finance lease liability</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16,776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2,157,816</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2,289,155</w:t>
            </w:r>
          </w:p>
        </w:tc>
        <w:tc>
          <w:tcPr>
            <w:tcW w:w="0" w:type="dxa"/>
            <w:vAlign w:val="bottom"/>
          </w:tcPr>
          <w:p>
            <w:pPr>
              <w:spacing w:after="0"/>
              <w:rPr>
                <w:sz w:val="1"/>
                <w:szCs w:val="1"/>
                <w:color w:val="auto"/>
              </w:rPr>
            </w:pPr>
          </w:p>
        </w:tc>
      </w:tr>
      <w:tr>
        <w:trPr>
          <w:trHeight w:val="183"/>
        </w:trPr>
        <w:tc>
          <w:tcPr>
            <w:tcW w:w="7760" w:type="dxa"/>
            <w:vAlign w:val="bottom"/>
            <w:gridSpan w:val="2"/>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4,754,461</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4,634,923</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6,458,748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6,574,574</w:t>
            </w:r>
          </w:p>
        </w:tc>
        <w:tc>
          <w:tcPr>
            <w:tcW w:w="0" w:type="dxa"/>
            <w:vAlign w:val="bottom"/>
          </w:tcPr>
          <w:p>
            <w:pPr>
              <w:spacing w:after="0"/>
              <w:rPr>
                <w:sz w:val="1"/>
                <w:szCs w:val="1"/>
                <w:color w:val="auto"/>
              </w:rPr>
            </w:pPr>
          </w:p>
        </w:tc>
      </w:tr>
      <w:tr>
        <w:trPr>
          <w:trHeight w:val="37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60" w:type="dxa"/>
            <w:vAlign w:val="bottom"/>
            <w:gridSpan w:val="2"/>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color w:val="auto"/>
              </w:rPr>
              <w:t>Common stock, $0.005 par value, authorized 20,000,000 shares; issued and outstanding 9,466,438 at</w:t>
            </w: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2025 and 9,456,438 at June 30, 2025, respectively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47,282</w:t>
            </w:r>
          </w:p>
        </w:tc>
        <w:tc>
          <w:tcPr>
            <w:tcW w:w="0" w:type="dxa"/>
            <w:vAlign w:val="bottom"/>
          </w:tcPr>
          <w:p>
            <w:pPr>
              <w:spacing w:after="0"/>
              <w:rPr>
                <w:sz w:val="1"/>
                <w:szCs w:val="1"/>
                <w:color w:val="auto"/>
              </w:rPr>
            </w:pPr>
          </w:p>
        </w:tc>
      </w:tr>
      <w:tr>
        <w:trPr>
          <w:trHeight w:val="189"/>
        </w:trPr>
        <w:tc>
          <w:tcPr>
            <w:tcW w:w="77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Paid in capital</w:t>
            </w:r>
          </w:p>
        </w:tc>
        <w:tc>
          <w:tcPr>
            <w:tcW w:w="120" w:type="dxa"/>
            <w:vAlign w:val="bottom"/>
          </w:tcPr>
          <w:p>
            <w:pPr>
              <w:spacing w:after="0"/>
              <w:rPr>
                <w:sz w:val="16"/>
                <w:szCs w:val="16"/>
                <w:color w:val="auto"/>
              </w:rPr>
            </w:pPr>
          </w:p>
        </w:tc>
        <w:tc>
          <w:tcPr>
            <w:tcW w:w="1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13,763,907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13,741,384</w:t>
            </w: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16,499,691</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16,821,369</w:t>
            </w:r>
          </w:p>
        </w:tc>
        <w:tc>
          <w:tcPr>
            <w:tcW w:w="0" w:type="dxa"/>
            <w:vAlign w:val="bottom"/>
          </w:tcPr>
          <w:p>
            <w:pPr>
              <w:spacing w:after="0"/>
              <w:rPr>
                <w:sz w:val="1"/>
                <w:szCs w:val="1"/>
                <w:color w:val="auto"/>
              </w:rPr>
            </w:pPr>
          </w:p>
        </w:tc>
      </w:tr>
      <w:tr>
        <w:trPr>
          <w:trHeight w:val="183"/>
        </w:trPr>
        <w:tc>
          <w:tcPr>
            <w:tcW w:w="776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30,310,930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30,610,035</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36,769,678</w:t>
            </w:r>
          </w:p>
        </w:tc>
        <w:tc>
          <w:tcPr>
            <w:tcW w:w="3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37,184,609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60" w:type="dxa"/>
            <w:vAlign w:val="bottom"/>
            <w:gridSpan w:val="2"/>
          </w:tcPr>
          <w:p>
            <w:pPr>
              <w:jc w:val="center"/>
              <w:ind w:left="3390"/>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KOSS CORPORATION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CCEEFF"/>
            </w:tcBorders>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2,861,379</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3,557,086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6,932,157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6,758,954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2,030,573</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2,152,129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4,472,659</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4,181,071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830,806</w:t>
            </w:r>
          </w:p>
        </w:tc>
        <w:tc>
          <w:tcPr>
            <w:tcW w:w="1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1,404,957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2,459,498</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2,577,883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1,845,384</w:t>
            </w:r>
          </w:p>
        </w:tc>
        <w:tc>
          <w:tcPr>
            <w:tcW w:w="1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1,546,741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3,520,116</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3,356,800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(1,014,578)</w:t>
            </w:r>
          </w:p>
        </w:tc>
        <w:tc>
          <w:tcPr>
            <w:tcW w:w="5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(141,784)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(1,060,618)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(778,917)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202,484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238,686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495,612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459,044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250,000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6"/>
                <w:szCs w:val="16"/>
                <w:color w:val="auto"/>
              </w:rPr>
            </w:pPr>
          </w:p>
        </w:tc>
        <w:tc>
          <w:tcPr>
            <w:tcW w:w="1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50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(1,152)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Borders>
              <w:top w:val="single" w:sz="8" w:color="CCEEFF"/>
            </w:tcBorders>
            <w:gridSpan w:val="2"/>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451,931</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238,686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744,460</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459,044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(loss) before income tax provision</w:t>
            </w:r>
          </w:p>
        </w:tc>
        <w:tc>
          <w:tcPr>
            <w:tcW w:w="3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(562,647)</w:t>
            </w: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96,902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(316,158)</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(319,873)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5,520</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(565,407)</w:t>
            </w:r>
          </w:p>
        </w:tc>
        <w:tc>
          <w:tcPr>
            <w:tcW w:w="500" w:type="dxa"/>
            <w:vAlign w:val="bottom"/>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94,142</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(321,678)</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(325,393)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(0.06)</w:t>
            </w:r>
          </w:p>
        </w:tc>
        <w:tc>
          <w:tcPr>
            <w:tcW w:w="500" w:type="dxa"/>
            <w:vAlign w:val="bottom"/>
            <w:shd w:val="clear" w:color="auto" w:fill="CCEEFF"/>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360" w:type="dxa"/>
            <w:vAlign w:val="bottom"/>
            <w:tcBorders>
              <w:bottom w:val="single" w:sz="8" w:color="auto"/>
            </w:tcBorders>
          </w:tcPr>
          <w:p>
            <w:pPr>
              <w:jc w:val="right"/>
              <w:ind w:right="1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vMerge w:val="continue"/>
          </w:tcPr>
          <w:p>
            <w:pPr>
              <w:spacing w:after="0"/>
              <w:rPr>
                <w:sz w:val="14"/>
                <w:szCs w:val="14"/>
                <w:color w:val="auto"/>
              </w:rPr>
            </w:pPr>
          </w:p>
        </w:tc>
        <w:tc>
          <w:tcPr>
            <w:tcW w:w="500" w:type="dxa"/>
            <w:vAlign w:val="bottom"/>
            <w:tcBorders>
              <w:bottom w:val="single" w:sz="8" w:color="auto"/>
            </w:tcBorders>
          </w:tcPr>
          <w:p>
            <w:pPr>
              <w:jc w:val="right"/>
              <w:ind w:right="3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Borders>
              <w:bottom w:val="single" w:sz="8" w:color="auto"/>
            </w:tcBorders>
          </w:tcPr>
          <w:p>
            <w:pPr>
              <w:jc w:val="right"/>
              <w:ind w:right="1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(0.03)</w:t>
            </w:r>
          </w:p>
        </w:tc>
        <w:tc>
          <w:tcPr>
            <w:tcW w:w="180" w:type="dxa"/>
            <w:vAlign w:val="bottom"/>
            <w:vMerge w:val="continue"/>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9,462,416</w:t>
            </w: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9,355,686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9,459,427</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9,332,844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9,462,416</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9,629,535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9,459,427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9,332,844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KOSS CORPORATION</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(321,678)</w:t>
            </w:r>
          </w:p>
        </w:tc>
        <w:tc>
          <w:tcPr>
            <w:tcW w:w="580" w:type="dxa"/>
            <w:vAlign w:val="bottom"/>
            <w:shd w:val="clear" w:color="auto" w:fill="CCEEFF"/>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(325,393)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Provision for credit losses</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Depreciation of equipment and leasehold improvements</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141,840</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113,858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accretion of discount on treasury securities</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(122,283)</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(152,879)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Amortization of finance lease right-of-use asset</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5,286</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Noncash operating lease expense</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3,835</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Change in cash surrender value of life insurance</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(198,062)</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(169,596)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Provision for deferred compensation</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220,249</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134,665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125,272</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(161,873)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46,690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(96,941)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340,338</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Interest receivable</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(8,653)</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71,923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Income taxes receivable</w:t>
            </w: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5,881</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(7,110)</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6"/>
                <w:szCs w:val="16"/>
                <w:color w:val="auto"/>
              </w:rPr>
            </w:pPr>
          </w:p>
        </w:tc>
        <w:tc>
          <w:tcPr>
            <w:tcW w:w="16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(329,384)</w:t>
            </w: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(73,686)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77,807</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395,342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20,321</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58,742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80" w:type="dxa"/>
            <w:vAlign w:val="bottom"/>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1,823</w:t>
            </w:r>
          </w:p>
        </w:tc>
        <w:tc>
          <w:tcPr>
            <w:tcW w:w="2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(50,419)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 of equipment and leasehold improvements</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(312,821)</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(419,553)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Life insurance premiums paid</w:t>
            </w:r>
          </w:p>
        </w:tc>
        <w:tc>
          <w:tcPr>
            <w:tcW w:w="420" w:type="dxa"/>
            <w:vAlign w:val="bottom"/>
          </w:tcPr>
          <w:p>
            <w:pPr>
              <w:spacing w:after="0"/>
              <w:rPr>
                <w:sz w:val="16"/>
                <w:szCs w:val="16"/>
                <w:color w:val="auto"/>
              </w:rPr>
            </w:pPr>
          </w:p>
        </w:tc>
        <w:tc>
          <w:tcPr>
            <w:tcW w:w="16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(51,301)</w:t>
            </w: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(70,577)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the maturity of treasury securities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7,085,000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treasury securities</w:t>
            </w:r>
          </w:p>
        </w:tc>
        <w:tc>
          <w:tcPr>
            <w:tcW w:w="420" w:type="dxa"/>
            <w:vAlign w:val="bottom"/>
          </w:tcPr>
          <w:p>
            <w:pPr>
              <w:spacing w:after="0"/>
              <w:rPr>
                <w:sz w:val="16"/>
                <w:szCs w:val="16"/>
                <w:color w:val="auto"/>
              </w:rPr>
            </w:pPr>
          </w:p>
        </w:tc>
        <w:tc>
          <w:tcPr>
            <w:tcW w:w="16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(2,996,970)</w:t>
            </w: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(6,998,250)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8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(361,092)</w:t>
            </w: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(403,380)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21,099</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152,445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420" w:type="dxa"/>
            <w:vAlign w:val="bottom"/>
          </w:tcPr>
          <w:p>
            <w:pPr>
              <w:spacing w:after="0"/>
              <w:rPr>
                <w:sz w:val="16"/>
                <w:szCs w:val="16"/>
                <w:color w:val="auto"/>
              </w:rPr>
            </w:pPr>
          </w:p>
        </w:tc>
        <w:tc>
          <w:tcPr>
            <w:tcW w:w="16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(4,789)</w:t>
            </w:r>
          </w:p>
        </w:tc>
        <w:tc>
          <w:tcPr>
            <w:tcW w:w="5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8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16,310</w:t>
            </w: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152,445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(342,959)</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(301,354)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2,807,797</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2,837,081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2,464,838</w:t>
            </w: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2,535,727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4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6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assets obtained in exchange for finance lease liabilities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interest on finance lease liability</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net of refunds, for income taxes: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New York</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Texas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Massachusetts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New Jersey</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7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of California</w:t>
            </w:r>
          </w:p>
        </w:tc>
        <w:tc>
          <w:tcPr>
            <w:tcW w:w="1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of North Carolina</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Total cash paid, net of refunds for income taxes</w:t>
            </w:r>
          </w:p>
        </w:tc>
        <w:tc>
          <w:tcPr>
            <w:tcW w:w="1140" w:type="dxa"/>
            <w:vAlign w:val="bottom"/>
            <w:tcBorders>
              <w:bottom w:val="single" w:sz="8" w:color="auto"/>
            </w:tcBorders>
            <w:shd w:val="clear" w:color="auto" w:fill="CCEEFF"/>
          </w:tcPr>
          <w:p>
            <w:pPr>
              <w:jc w:val="right"/>
              <w:ind w:right="9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6,749</w:t>
            </w: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12,963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KOSS 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8"/>
          </w:tcPr>
          <w:p>
            <w:pPr>
              <w:ind w:left="880"/>
              <w:spacing w:after="0"/>
              <w:rPr>
                <w:sz w:val="20"/>
                <w:szCs w:val="20"/>
                <w:color w:val="auto"/>
              </w:rPr>
            </w:pPr>
            <w:r>
              <w:rPr>
                <w:rFonts w:ascii="Times New Roman" w:cs="Times New Roman" w:eastAsia="Times New Roman" w:hAnsi="Times New Roman"/>
                <w:sz w:val="18"/>
                <w:szCs w:val="18"/>
                <w:b w:val="1"/>
                <w:bCs w:val="1"/>
                <w:color w:val="auto"/>
              </w:rPr>
              <w:t>Six Months Ended December 31, 2025</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83"/>
        </w:trPr>
        <w:tc>
          <w:tcPr>
            <w:tcW w:w="3340" w:type="dxa"/>
            <w:vAlign w:val="bottom"/>
          </w:tcPr>
          <w:p>
            <w:pPr>
              <w:spacing w:after="0"/>
              <w:rPr>
                <w:sz w:val="15"/>
                <w:szCs w:val="15"/>
                <w:color w:val="auto"/>
              </w:rPr>
            </w:pPr>
          </w:p>
        </w:tc>
        <w:tc>
          <w:tcPr>
            <w:tcW w:w="2980" w:type="dxa"/>
            <w:vAlign w:val="bottom"/>
            <w:gridSpan w:val="5"/>
          </w:tcPr>
          <w:p>
            <w:pPr>
              <w:ind w:left="800"/>
              <w:spacing w:after="0" w:line="18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5"/>
                <w:szCs w:val="15"/>
                <w:color w:val="auto"/>
              </w:rPr>
            </w:pPr>
          </w:p>
        </w:tc>
        <w:tc>
          <w:tcPr>
            <w:tcW w:w="124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Paid in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340" w:type="dxa"/>
            <w:vAlign w:val="bottom"/>
          </w:tcPr>
          <w:p>
            <w:pPr>
              <w:spacing w:after="0"/>
              <w:rPr>
                <w:sz w:val="15"/>
                <w:szCs w:val="15"/>
                <w:color w:val="auto"/>
              </w:rPr>
            </w:pPr>
          </w:p>
        </w:tc>
        <w:tc>
          <w:tcPr>
            <w:tcW w:w="1400" w:type="dxa"/>
            <w:vAlign w:val="bottom"/>
            <w:tcBorders>
              <w:top w:val="single" w:sz="8" w:color="auto"/>
            </w:tcBorders>
            <w:gridSpan w:val="2"/>
          </w:tcPr>
          <w:p>
            <w:pPr>
              <w:ind w:left="34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Pr>
          <w:p>
            <w:pPr>
              <w:spacing w:after="0"/>
              <w:rPr>
                <w:sz w:val="15"/>
                <w:szCs w:val="15"/>
                <w:color w:val="auto"/>
              </w:rPr>
            </w:pPr>
          </w:p>
        </w:tc>
        <w:tc>
          <w:tcPr>
            <w:tcW w:w="114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June 30, 2025</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9,456,438</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47,282</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13,741,384</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16,821,369</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30,610,035</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(321,678)</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(321,678)</w:t>
            </w:r>
          </w:p>
        </w:tc>
      </w:tr>
      <w:tr>
        <w:trPr>
          <w:trHeight w:val="189"/>
        </w:trPr>
        <w:tc>
          <w:tcPr>
            <w:tcW w:w="3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1,474</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21,049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21,099</w:t>
            </w:r>
          </w:p>
        </w:tc>
      </w:tr>
      <w:tr>
        <w:trPr>
          <w:trHeight w:val="183"/>
        </w:trPr>
        <w:tc>
          <w:tcPr>
            <w:tcW w:w="33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2025</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9,466,438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47,332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13,763,907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16,499,691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30,310,930</w:t>
            </w: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8"/>
                <w:szCs w:val="18"/>
                <w:b w:val="1"/>
                <w:bCs w:val="1"/>
                <w:color w:val="auto"/>
              </w:rPr>
              <w:t>Six Months Ended December 31, 2024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83"/>
        </w:trPr>
        <w:tc>
          <w:tcPr>
            <w:tcW w:w="3360" w:type="dxa"/>
            <w:vAlign w:val="bottom"/>
          </w:tcPr>
          <w:p>
            <w:pPr>
              <w:spacing w:after="0"/>
              <w:rPr>
                <w:sz w:val="15"/>
                <w:szCs w:val="15"/>
                <w:color w:val="auto"/>
              </w:rPr>
            </w:pPr>
          </w:p>
        </w:tc>
        <w:tc>
          <w:tcPr>
            <w:tcW w:w="2920" w:type="dxa"/>
            <w:vAlign w:val="bottom"/>
            <w:gridSpan w:val="5"/>
          </w:tcPr>
          <w:p>
            <w:pPr>
              <w:ind w:left="760"/>
              <w:spacing w:after="0" w:line="18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5"/>
                <w:szCs w:val="15"/>
                <w:color w:val="auto"/>
              </w:rPr>
            </w:pPr>
          </w:p>
        </w:tc>
        <w:tc>
          <w:tcPr>
            <w:tcW w:w="14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Paid in</w:t>
            </w: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3"/>
        </w:trPr>
        <w:tc>
          <w:tcPr>
            <w:tcW w:w="3360" w:type="dxa"/>
            <w:vAlign w:val="bottom"/>
          </w:tcPr>
          <w:p>
            <w:pPr>
              <w:spacing w:after="0"/>
              <w:rPr>
                <w:sz w:val="15"/>
                <w:szCs w:val="15"/>
                <w:color w:val="auto"/>
              </w:rPr>
            </w:pPr>
          </w:p>
        </w:tc>
        <w:tc>
          <w:tcPr>
            <w:tcW w:w="1180" w:type="dxa"/>
            <w:vAlign w:val="bottom"/>
            <w:tcBorders>
              <w:top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340" w:type="dxa"/>
            <w:vAlign w:val="bottom"/>
          </w:tcPr>
          <w:p>
            <w:pPr>
              <w:spacing w:after="0"/>
              <w:rPr>
                <w:sz w:val="15"/>
                <w:szCs w:val="15"/>
                <w:color w:val="auto"/>
              </w:rPr>
            </w:pPr>
          </w:p>
        </w:tc>
        <w:tc>
          <w:tcPr>
            <w:tcW w:w="118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33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June 30, 2024</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9,299,795</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46,499</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13,404,477</w:t>
            </w: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17,696,200</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31,147,176</w:t>
            </w:r>
          </w:p>
        </w:tc>
      </w:tr>
      <w:tr>
        <w:trPr>
          <w:trHeight w:val="189"/>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4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4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(325,393)</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(325,393)</w:t>
            </w:r>
          </w:p>
        </w:tc>
      </w:tr>
      <w:tr>
        <w:trPr>
          <w:trHeight w:val="189"/>
        </w:trPr>
        <w:tc>
          <w:tcPr>
            <w:tcW w:w="3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19,664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19,664</w:t>
            </w:r>
          </w:p>
        </w:tc>
      </w:tr>
      <w:tr>
        <w:trPr>
          <w:trHeight w:val="189"/>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option exercises</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76,000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152,065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152,445</w:t>
            </w:r>
          </w:p>
        </w:tc>
      </w:tr>
      <w:tr>
        <w:trPr>
          <w:trHeight w:val="183"/>
        </w:trPr>
        <w:tc>
          <w:tcPr>
            <w:tcW w:w="3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2024</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9,375,795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46,879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13,576,206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17,370,807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30,993,892</w:t>
            </w:r>
          </w:p>
        </w:tc>
      </w:tr>
      <w:tr>
        <w:trPr>
          <w:trHeight w:val="20"/>
        </w:trPr>
        <w:tc>
          <w:tcPr>
            <w:tcW w:w="3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83"/>
        </w:trPr>
        <w:tc>
          <w:tcPr>
            <w:tcW w:w="3340" w:type="dxa"/>
            <w:vAlign w:val="bottom"/>
          </w:tcPr>
          <w:p>
            <w:pPr>
              <w:spacing w:after="0"/>
              <w:rPr>
                <w:sz w:val="15"/>
                <w:szCs w:val="15"/>
                <w:color w:val="auto"/>
              </w:rPr>
            </w:pPr>
          </w:p>
        </w:tc>
        <w:tc>
          <w:tcPr>
            <w:tcW w:w="2980" w:type="dxa"/>
            <w:vAlign w:val="bottom"/>
            <w:gridSpan w:val="5"/>
          </w:tcPr>
          <w:p>
            <w:pPr>
              <w:ind w:left="800"/>
              <w:spacing w:after="0" w:line="18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5"/>
                <w:szCs w:val="15"/>
                <w:color w:val="auto"/>
              </w:rPr>
            </w:pPr>
          </w:p>
        </w:tc>
        <w:tc>
          <w:tcPr>
            <w:tcW w:w="124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Paid in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340" w:type="dxa"/>
            <w:vAlign w:val="bottom"/>
          </w:tcPr>
          <w:p>
            <w:pPr>
              <w:spacing w:after="0"/>
              <w:rPr>
                <w:sz w:val="15"/>
                <w:szCs w:val="15"/>
                <w:color w:val="auto"/>
              </w:rPr>
            </w:pPr>
          </w:p>
        </w:tc>
        <w:tc>
          <w:tcPr>
            <w:tcW w:w="1400" w:type="dxa"/>
            <w:vAlign w:val="bottom"/>
            <w:tcBorders>
              <w:top w:val="single" w:sz="8" w:color="auto"/>
            </w:tcBorders>
            <w:gridSpan w:val="2"/>
          </w:tcPr>
          <w:p>
            <w:pPr>
              <w:ind w:left="34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Pr>
          <w:p>
            <w:pPr>
              <w:spacing w:after="0"/>
              <w:rPr>
                <w:sz w:val="15"/>
                <w:szCs w:val="15"/>
                <w:color w:val="auto"/>
              </w:rPr>
            </w:pPr>
          </w:p>
        </w:tc>
        <w:tc>
          <w:tcPr>
            <w:tcW w:w="114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September 30, 2025</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9,456,438</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47,282</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13,742,858</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17,065,098</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30,855,238</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(565,407)</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(565,407)</w:t>
            </w:r>
          </w:p>
        </w:tc>
      </w:tr>
      <w:tr>
        <w:trPr>
          <w:trHeight w:val="189"/>
        </w:trPr>
        <w:tc>
          <w:tcPr>
            <w:tcW w:w="3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21,049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21,099</w:t>
            </w:r>
          </w:p>
        </w:tc>
      </w:tr>
      <w:tr>
        <w:trPr>
          <w:trHeight w:val="183"/>
        </w:trPr>
        <w:tc>
          <w:tcPr>
            <w:tcW w:w="33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2025</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9,466,438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47,332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13,763,907</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16,499,691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30,310,930</w:t>
            </w: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83"/>
        </w:trPr>
        <w:tc>
          <w:tcPr>
            <w:tcW w:w="3340" w:type="dxa"/>
            <w:vAlign w:val="bottom"/>
          </w:tcPr>
          <w:p>
            <w:pPr>
              <w:spacing w:after="0"/>
              <w:rPr>
                <w:sz w:val="15"/>
                <w:szCs w:val="15"/>
                <w:color w:val="auto"/>
              </w:rPr>
            </w:pPr>
          </w:p>
        </w:tc>
        <w:tc>
          <w:tcPr>
            <w:tcW w:w="2980" w:type="dxa"/>
            <w:vAlign w:val="bottom"/>
            <w:gridSpan w:val="5"/>
          </w:tcPr>
          <w:p>
            <w:pPr>
              <w:ind w:left="800"/>
              <w:spacing w:after="0" w:line="182"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5"/>
                <w:szCs w:val="15"/>
                <w:color w:val="auto"/>
              </w:rPr>
            </w:pPr>
          </w:p>
        </w:tc>
        <w:tc>
          <w:tcPr>
            <w:tcW w:w="124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Paid in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3340" w:type="dxa"/>
            <w:vAlign w:val="bottom"/>
          </w:tcPr>
          <w:p>
            <w:pPr>
              <w:spacing w:after="0"/>
              <w:rPr>
                <w:sz w:val="15"/>
                <w:szCs w:val="15"/>
                <w:color w:val="auto"/>
              </w:rPr>
            </w:pPr>
          </w:p>
        </w:tc>
        <w:tc>
          <w:tcPr>
            <w:tcW w:w="1400" w:type="dxa"/>
            <w:vAlign w:val="bottom"/>
            <w:tcBorders>
              <w:top w:val="single" w:sz="8" w:color="auto"/>
            </w:tcBorders>
            <w:gridSpan w:val="2"/>
          </w:tcPr>
          <w:p>
            <w:pPr>
              <w:ind w:left="340"/>
              <w:spacing w:after="0" w:line="182" w:lineRule="exact"/>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Pr>
          <w:p>
            <w:pPr>
              <w:spacing w:after="0"/>
              <w:rPr>
                <w:sz w:val="15"/>
                <w:szCs w:val="15"/>
                <w:color w:val="auto"/>
              </w:rPr>
            </w:pPr>
          </w:p>
        </w:tc>
        <w:tc>
          <w:tcPr>
            <w:tcW w:w="114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September 30, 2024</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9,350,795</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46,754</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13,523,356</w:t>
            </w: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17,276,665</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30,846,775</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94,142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94,142</w:t>
            </w:r>
          </w:p>
        </w:tc>
      </w:tr>
      <w:tr>
        <w:trPr>
          <w:trHeight w:val="189"/>
        </w:trPr>
        <w:tc>
          <w:tcPr>
            <w:tcW w:w="3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5,400</w:t>
            </w:r>
          </w:p>
        </w:tc>
      </w:tr>
      <w:tr>
        <w:trPr>
          <w:trHeight w:val="189"/>
        </w:trPr>
        <w:tc>
          <w:tcPr>
            <w:tcW w:w="3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option exercises</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47,450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47,575</w:t>
            </w:r>
          </w:p>
        </w:tc>
      </w:tr>
      <w:tr>
        <w:trPr>
          <w:trHeight w:val="183"/>
        </w:trPr>
        <w:tc>
          <w:tcPr>
            <w:tcW w:w="33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2024</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9,375,795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46,879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13,576,206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17,370,807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30,993,892</w:t>
            </w: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KOSS CORPORATION</w:t>
      </w:r>
    </w:p>
    <w:p>
      <w:pPr>
        <w:jc w:val="center"/>
        <w:ind w:right="-19"/>
        <w:spacing w:after="0" w:line="237" w:lineRule="auto"/>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December 31, 2025</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SUMMARY OF SIGNIFICANT ACCOUNTING POLICIES</w:t>
      </w:r>
    </w:p>
    <w:p>
      <w:pPr>
        <w:spacing w:after="0" w:line="18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17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condensed consolidated balance sheets as of December 31, 2025 and June 30, 2025, the condensed consolidated statements of operations for the three and six months ended December 31, 2025 and 2024, the condensed consolidated statements of cash flows for the six months ended December 31, 2025 and 2024, and the condensed consolidated statements of stockholders' equity for the three and six months ended December 31, 2025 and 2024, have been prepared by the Company in accordance with generally accepted accounting principles in the United States of America (“U.S. GAAP”) and have not been audited. In the opinion of management, all adjustments (consisting of normal recurring adjustments) necessary to present fairly the financial position, results of operations and cash flows for all periods presented have been made. The operating results for any interim period are not necessarily indicative of the operating results that may be experienced for the full fiscal year.</w:t>
      </w:r>
    </w:p>
    <w:p>
      <w:pPr>
        <w:spacing w:after="0" w:line="146"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consolidated financial statements prepared in accordance with U.S. GAAP have been condensed or omitted. These condensed consolidated financial statements should be read in conjunction with the consolidated financial statements and notes thereto included in the Company’s Annual Report on Form 10-K for the fiscal year ended June 30, 2025.</w:t>
      </w:r>
    </w:p>
    <w:p>
      <w:pPr>
        <w:spacing w:after="0" w:line="15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right-of-use assets, income tax valuation allowance</w:t>
      </w:r>
      <w:r>
        <w:rPr>
          <w:rFonts w:ascii="Times New Roman" w:cs="Times New Roman" w:eastAsia="Times New Roman" w:hAnsi="Times New Roman"/>
          <w:sz w:val="18"/>
          <w:szCs w:val="18"/>
          <w:color w:val="0782C1"/>
        </w:rPr>
        <w:t>,</w:t>
      </w:r>
      <w:r>
        <w:rPr>
          <w:rFonts w:ascii="Times New Roman" w:cs="Times New Roman" w:eastAsia="Times New Roman" w:hAnsi="Times New Roman"/>
          <w:sz w:val="18"/>
          <w:szCs w:val="18"/>
          <w:color w:val="auto"/>
        </w:rPr>
        <w:t xml:space="preserve"> stock-based compensation and deferred compensation. Actual results could differ from the Company's estimates.</w:t>
      </w:r>
    </w:p>
    <w:p>
      <w:pPr>
        <w:spacing w:after="0" w:line="1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B)</w:t>
        <w:tab/>
        <w:t>INVESTMENTS</w:t>
      </w:r>
    </w:p>
    <w:p>
      <w:pPr>
        <w:spacing w:after="0" w:line="185"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Debt securities are classified as held-to-maturity as the Company has the positive intent and ability to hold them to maturity. The securities are carried at amortized cost as current or noncurrent based upon maturity date and unrealized gains and losses are recognized when realized. The amortized cost of debt securities is adjusted for amortization of premium and accretion of discounts to maturity. Such amortization or accretion is included in interest income, along with other interest income earned on cash and cash equivalents. Accrued interest receivable on held-to-maturity debt securities is shown separately on the condensed consolidated balance sheets and is not included in any estimate for credit losses. No allowance for credit losses on held-to-maturity U.S. 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2 for additional information on investments.</w:t>
      </w:r>
    </w:p>
    <w:p>
      <w:pPr>
        <w:spacing w:after="0" w:line="16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FAIR VALUE MEASUREMENTS</w:t>
      </w:r>
    </w:p>
    <w:p>
      <w:pPr>
        <w:spacing w:after="0" w:line="17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Cash equivalents, accounts receivable, and accounts payable approximate fair value based on the short maturity of these instruments. The Company’s U.S. treasury debt securities are recorded at amortized cost with fair value disclosure. They have a readily available market price (Level 1 input), thus a lesser degree of judgment needs to be used in measuring fair value, and fair value was determined by quoted market prices. The fair value is based upon quoted market prices and is disclosed in Note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LEGAL COSTS</w:t>
      </w:r>
    </w:p>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All legal costs related to litigation for which the Company is liable are charged to operations as incurred, except contingent legal fees as described below. Proceeds from the settlement of legal disputes are recorded in other income when the amounts are determinable, and the collection is certain. License proceeds are considered functional and as such are recorded at a point in time, based on the underlying agreement. Related contingent legal fees and expenses are recorded in selling, general and administrative expense at that time. Changes to the contingent legal fee expenses could have a material impact on the results of operations.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OTHER INCOME</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the three and six months ended December 31, 2025, the Company received licensing proceeds of $250,000, which were recorded as other income. Other income is shown as a separate line on the condensed consolidated statements of operations. No such licensing proceeds were recorded during the same periods in the prior year.</w:t>
      </w:r>
    </w:p>
    <w:p>
      <w:pPr>
        <w:spacing w:after="0" w:line="1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spacing w:after="0" w:line="1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State income tax provisions of $2,760 and $5,520, respectively, were recorded for the three- and six-month periods ending December 31, 2025 and 2024 for the required minimum state tax payments. There were no federal income tax provisions recorded during the first six months of fiscal years 2026 and 2025 due to net operating loss carryforwards (“NOLs”) available to offset taxable income. Application of available NOLs to potential future taxable income would minimize any tax payment requirements. NOLs arising in tax years beginning after December 31, 2017 are limited to 80 percent of taxable income per the Tax Cuts and Jobs Act (“TCJA”) and, as such, the future utilization of all federal NOLs available to the Company are so limited.</w:t>
      </w:r>
    </w:p>
    <w:p>
      <w:pPr>
        <w:spacing w:after="0" w:line="16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Company's tax loss carryforward as of December 31, 2025 was approximately $34,760,000. Given the cumulative taxable losses for the last three years, excluding one-time items, the expectation for utilization of the estimated tax loss carryforward is not likely, and as such, the future realization of this continues to be uncertain. The valuation allowance was adjusted to continue to fully offset the net deferred tax asset as there is sufficient negative evidence to support a full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DEFERRED COMPENSATION</w:t>
      </w:r>
    </w:p>
    <w:p>
      <w:pPr>
        <w:spacing w:after="0" w:line="18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condensed consolidated statements of operations. The deferred compensation liability recorded at December 31, 2025 and June 30, 2025 is $2,446,703 and $2,226,454, respectively. Compensation expense of $59,364 and $220,249, respectively, was recorded during the three and six months ended December 31, 2025 as a result of the increase in the deferred compensation liability for the current officer, due mainly to the annual increase in the future payments earned under the arrangement due to completing an additional year of service, as well as a decrease in the discount factor. The discount factor used to calculate the net present value of the liability was 5.81% at June 30, 2025 and declined to 5.45% at December 31, 2025. For the three and six months ended December 31, 2024, compensation (income) and expense of ($62,710) and $134,665, respectively, were recorded under this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RECENT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87"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8"/>
          <w:szCs w:val="18"/>
          <w:color w:val="auto"/>
        </w:rPr>
        <w:t>In December 2023, FASB issued ASU 2023-09, Income Taxes (Topic 740): Improvements to Income Tax Disclosures. The ASU focuses on income tax disclosures around effective tax rates and cash income taxes paid and requires consistent categories and greater disaggregation of information in the rate reconciliation, income taxes paid disaggregated by jurisdiction and certain other amendments. The new guidance was adopted prospectively as of July 1, 2025 and ASU 2023-09 does not mandate retrospective disclosure. Given the ASU relates solely to disclosure requirements, adoption does not have a material impact on the Company’s financial position, results of operations or cash flows. See Note 4 for further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87"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In March 2024, FASB issued ASU 2024-03, Income Statement – Reporting Comprehensive Income - Expense Disaggregation Disclosures (Subtopic 220 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and entities are required to apply the amendments retrospectively. Early adoption is permitted.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will evaluate the impact of the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unrealized positions for the held-to-maturity debt securities as of December 31, 2025 and June 30,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60"/>
        </w:trPr>
        <w:tc>
          <w:tcPr>
            <w:tcW w:w="3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ind w:left="40"/>
              <w:spacing w:after="0" w:line="16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5"/>
        </w:trPr>
        <w:tc>
          <w:tcPr>
            <w:tcW w:w="3840" w:type="dxa"/>
            <w:vAlign w:val="bottom"/>
          </w:tcPr>
          <w:p>
            <w:pPr>
              <w:spacing w:after="0"/>
              <w:rPr>
                <w:sz w:val="19"/>
                <w:szCs w:val="19"/>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 basis</w:t>
            </w:r>
          </w:p>
        </w:tc>
        <w:tc>
          <w:tcPr>
            <w:tcW w:w="100" w:type="dxa"/>
            <w:vAlign w:val="bottom"/>
          </w:tcPr>
          <w:p>
            <w:pPr>
              <w:spacing w:after="0"/>
              <w:rPr>
                <w:sz w:val="19"/>
                <w:szCs w:val="19"/>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Gross unrealized losses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16,999,909</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ind w:left="960"/>
              <w:spacing w:after="0" w:line="182" w:lineRule="exact"/>
              <w:rPr>
                <w:sz w:val="20"/>
                <w:szCs w:val="20"/>
                <w:color w:val="auto"/>
              </w:rPr>
            </w:pPr>
            <w:r>
              <w:rPr>
                <w:rFonts w:ascii="Times New Roman" w:cs="Times New Roman" w:eastAsia="Times New Roman" w:hAnsi="Times New Roman"/>
                <w:sz w:val="18"/>
                <w:szCs w:val="18"/>
                <w:color w:val="auto"/>
              </w:rPr>
              <w:t>52,975</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4,447</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17,048,437</w:t>
            </w:r>
          </w:p>
        </w:tc>
      </w:tr>
      <w:tr>
        <w:trPr>
          <w:trHeight w:val="183"/>
        </w:trPr>
        <w:tc>
          <w:tcPr>
            <w:tcW w:w="38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16,999,909</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ind w:left="960"/>
              <w:spacing w:after="0" w:line="182" w:lineRule="exact"/>
              <w:rPr>
                <w:sz w:val="20"/>
                <w:szCs w:val="20"/>
                <w:color w:val="auto"/>
              </w:rPr>
            </w:pPr>
            <w:r>
              <w:rPr>
                <w:rFonts w:ascii="Times New Roman" w:cs="Times New Roman" w:eastAsia="Times New Roman" w:hAnsi="Times New Roman"/>
                <w:sz w:val="18"/>
                <w:szCs w:val="18"/>
                <w:color w:val="auto"/>
              </w:rPr>
              <w:t>52,975</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4,447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17,048,437</w:t>
            </w:r>
          </w:p>
        </w:tc>
      </w:tr>
      <w:tr>
        <w:trPr>
          <w:trHeight w:val="20"/>
        </w:trPr>
        <w:tc>
          <w:tcPr>
            <w:tcW w:w="3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60"/>
        </w:trPr>
        <w:tc>
          <w:tcPr>
            <w:tcW w:w="3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ind w:left="40"/>
              <w:spacing w:after="0" w:line="16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5"/>
        </w:trPr>
        <w:tc>
          <w:tcPr>
            <w:tcW w:w="3840" w:type="dxa"/>
            <w:vAlign w:val="bottom"/>
          </w:tcPr>
          <w:p>
            <w:pPr>
              <w:spacing w:after="0"/>
              <w:rPr>
                <w:sz w:val="19"/>
                <w:szCs w:val="19"/>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 basis</w:t>
            </w:r>
          </w:p>
        </w:tc>
        <w:tc>
          <w:tcPr>
            <w:tcW w:w="100" w:type="dxa"/>
            <w:vAlign w:val="bottom"/>
          </w:tcPr>
          <w:p>
            <w:pPr>
              <w:spacing w:after="0"/>
              <w:rPr>
                <w:sz w:val="19"/>
                <w:szCs w:val="19"/>
                <w:color w:val="auto"/>
              </w:rPr>
            </w:pP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Gross unrealized losses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16,880,656</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ind w:left="960"/>
              <w:spacing w:after="0" w:line="182" w:lineRule="exact"/>
              <w:rPr>
                <w:sz w:val="20"/>
                <w:szCs w:val="20"/>
                <w:color w:val="auto"/>
              </w:rPr>
            </w:pPr>
            <w:r>
              <w:rPr>
                <w:rFonts w:ascii="Times New Roman" w:cs="Times New Roman" w:eastAsia="Times New Roman" w:hAnsi="Times New Roman"/>
                <w:sz w:val="18"/>
                <w:szCs w:val="18"/>
                <w:color w:val="auto"/>
              </w:rPr>
              <w:t>52,103</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625</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16,932,134</w:t>
            </w:r>
          </w:p>
        </w:tc>
      </w:tr>
      <w:tr>
        <w:trPr>
          <w:trHeight w:val="183"/>
        </w:trPr>
        <w:tc>
          <w:tcPr>
            <w:tcW w:w="38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16,880,656</w:t>
            </w:r>
          </w:p>
        </w:tc>
        <w:tc>
          <w:tcPr>
            <w:tcW w:w="22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ind w:left="960"/>
              <w:spacing w:after="0" w:line="182" w:lineRule="exact"/>
              <w:rPr>
                <w:sz w:val="20"/>
                <w:szCs w:val="20"/>
                <w:color w:val="auto"/>
              </w:rPr>
            </w:pPr>
            <w:r>
              <w:rPr>
                <w:rFonts w:ascii="Times New Roman" w:cs="Times New Roman" w:eastAsia="Times New Roman" w:hAnsi="Times New Roman"/>
                <w:sz w:val="18"/>
                <w:szCs w:val="18"/>
                <w:color w:val="auto"/>
              </w:rPr>
              <w:t>52,103</w:t>
            </w:r>
          </w:p>
        </w:tc>
        <w:tc>
          <w:tcPr>
            <w:tcW w:w="220" w:type="dxa"/>
            <w:vAlign w:val="bottom"/>
          </w:tcPr>
          <w:p>
            <w:pPr>
              <w:spacing w:after="0"/>
              <w:rPr>
                <w:sz w:val="15"/>
                <w:szCs w:val="15"/>
                <w:color w:val="auto"/>
              </w:rPr>
            </w:pPr>
          </w:p>
        </w:tc>
        <w:tc>
          <w:tcPr>
            <w:tcW w:w="10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625</w:t>
            </w:r>
          </w:p>
        </w:tc>
        <w:tc>
          <w:tcPr>
            <w:tcW w:w="220" w:type="dxa"/>
            <w:vAlign w:val="bottom"/>
            <w:gridSpan w:val="2"/>
          </w:tcPr>
          <w:p>
            <w:pPr>
              <w:spacing w:after="0"/>
              <w:rPr>
                <w:sz w:val="15"/>
                <w:szCs w:val="15"/>
                <w:color w:val="auto"/>
              </w:rPr>
            </w:pPr>
          </w:p>
        </w:tc>
        <w:tc>
          <w:tcPr>
            <w:tcW w:w="240" w:type="dxa"/>
            <w:vAlign w:val="bottom"/>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16,932,134</w:t>
            </w:r>
          </w:p>
        </w:tc>
      </w:tr>
      <w:tr>
        <w:trPr>
          <w:trHeight w:val="20"/>
        </w:trPr>
        <w:tc>
          <w:tcPr>
            <w:tcW w:w="3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following tables summarize the fair value and amortized cost basis of the held-to-maturity debt securities by contractual maturity as of December 31, 2025 and June 30,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bottom w:val="single" w:sz="8" w:color="auto"/>
            </w:tcBorders>
          </w:tcPr>
          <w:p>
            <w:pPr>
              <w:spacing w:after="0"/>
              <w:rPr>
                <w:sz w:val="19"/>
                <w:szCs w:val="19"/>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Amortized Cost Basis</w:t>
            </w: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183"/>
        </w:trPr>
        <w:tc>
          <w:tcPr>
            <w:tcW w:w="5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13,005,592</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13,042,936</w:t>
            </w:r>
          </w:p>
        </w:tc>
      </w:tr>
      <w:tr>
        <w:trPr>
          <w:trHeight w:val="189"/>
        </w:trPr>
        <w:tc>
          <w:tcPr>
            <w:tcW w:w="59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3,994,317</w:t>
            </w:r>
          </w:p>
        </w:tc>
        <w:tc>
          <w:tcPr>
            <w:tcW w:w="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4,005,501</w:t>
            </w:r>
          </w:p>
        </w:tc>
      </w:tr>
      <w:tr>
        <w:trPr>
          <w:trHeight w:val="183"/>
        </w:trPr>
        <w:tc>
          <w:tcPr>
            <w:tcW w:w="590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16,999,909</w:t>
            </w: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17,048,437</w:t>
            </w: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Amortized Cost Basis</w:t>
            </w:r>
          </w:p>
        </w:tc>
        <w:tc>
          <w:tcPr>
            <w:tcW w:w="3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gridSpan w:val="2"/>
            <w:shd w:val="clear" w:color="auto" w:fill="CCEEFF"/>
          </w:tcPr>
          <w:p>
            <w:pPr>
              <w:ind w:left="1420"/>
              <w:spacing w:after="0" w:line="182" w:lineRule="exact"/>
              <w:rPr>
                <w:sz w:val="20"/>
                <w:szCs w:val="20"/>
                <w:color w:val="auto"/>
              </w:rPr>
            </w:pPr>
            <w:r>
              <w:rPr>
                <w:rFonts w:ascii="Times New Roman" w:cs="Times New Roman" w:eastAsia="Times New Roman" w:hAnsi="Times New Roman"/>
                <w:sz w:val="18"/>
                <w:szCs w:val="18"/>
                <w:color w:val="auto"/>
              </w:rPr>
              <w:t>12,879,882</w:t>
            </w: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12,909,183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4,000,774</w:t>
            </w:r>
          </w:p>
        </w:tc>
        <w:tc>
          <w:tcPr>
            <w:tcW w:w="3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4,022,951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bottom w:val="single" w:sz="8" w:color="auto"/>
            </w:tcBorders>
            <w:gridSpan w:val="2"/>
            <w:shd w:val="clear" w:color="auto" w:fill="CCEEFF"/>
          </w:tcPr>
          <w:p>
            <w:pPr>
              <w:ind w:left="1420"/>
              <w:spacing w:after="0" w:line="182" w:lineRule="exact"/>
              <w:rPr>
                <w:sz w:val="20"/>
                <w:szCs w:val="20"/>
                <w:color w:val="auto"/>
              </w:rPr>
            </w:pPr>
            <w:r>
              <w:rPr>
                <w:rFonts w:ascii="Times New Roman" w:cs="Times New Roman" w:eastAsia="Times New Roman" w:hAnsi="Times New Roman"/>
                <w:sz w:val="18"/>
                <w:szCs w:val="18"/>
                <w:color w:val="auto"/>
              </w:rPr>
              <w:t>16,880,656</w:t>
            </w:r>
          </w:p>
        </w:tc>
        <w:tc>
          <w:tcPr>
            <w:tcW w:w="3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16,932,134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  INVENTORIES</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were as follows: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1,865,943</w:t>
            </w: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4,895,392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4,815,881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Inventories, gross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6,761,335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6,782,543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Reserve for obsolete inventory</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w w:val="99"/>
              </w:rPr>
              <w:t>(1,922,958)</w:t>
            </w:r>
          </w:p>
        </w:tc>
        <w:tc>
          <w:tcPr>
            <w:tcW w:w="12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(1,897,476)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4,838,377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4,885,067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INCOME TAXES</w:t>
      </w:r>
    </w:p>
    <w:p>
      <w:pPr>
        <w:spacing w:after="0" w:line="18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The liability method measures the expected income tax impact of future taxable income and deductions implicit in the condensed consolidated balance sheets. The Company’s income tax expense for the three and six months ended December 31, 2025 and 2024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60" w:type="dxa"/>
            <w:vAlign w:val="bottom"/>
            <w:gridSpan w:val="4"/>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5"/>
        </w:trPr>
        <w:tc>
          <w:tcPr>
            <w:tcW w:w="3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196"/>
        </w:trPr>
        <w:tc>
          <w:tcPr>
            <w:tcW w:w="3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3400" w:type="dxa"/>
            <w:vAlign w:val="bottom"/>
            <w:tcBorders>
              <w:top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2360" w:type="dxa"/>
            <w:vAlign w:val="bottom"/>
            <w:tcBorders>
              <w:top w:val="single" w:sz="8" w:color="auto"/>
            </w:tcBorders>
            <w:gridSpan w:val="2"/>
            <w:shd w:val="clear" w:color="auto" w:fill="CCEEFF"/>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2,760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34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income tax provision</w:t>
            </w:r>
          </w:p>
        </w:tc>
        <w:tc>
          <w:tcPr>
            <w:tcW w:w="134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8"/>
              </w:rPr>
              <w:t>2,760</w:t>
            </w:r>
          </w:p>
        </w:tc>
        <w:tc>
          <w:tcPr>
            <w:tcW w:w="1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ind w:right="8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8"/>
              </w:rPr>
              <w:t>2,760</w:t>
            </w:r>
          </w:p>
        </w:tc>
        <w:tc>
          <w:tcPr>
            <w:tcW w:w="2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5,520</w:t>
            </w:r>
          </w:p>
        </w:tc>
      </w:tr>
      <w:tr>
        <w:trPr>
          <w:trHeight w:val="20"/>
        </w:trPr>
        <w:tc>
          <w:tcPr>
            <w:tcW w:w="3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income is derived from domestic operations.</w:t>
      </w:r>
    </w:p>
    <w:p>
      <w:pPr>
        <w:spacing w:after="0" w:line="18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For the three and six months ended December 31, 2025, respectively, the effective tax rate was less than 1% and 1.7%, respectively. The effective tax rate for the three and six months ended December 31, 2024 was 2.8% and 1.7%, respectively. It is anticipated that the effective rate in future years will continue to be reduced by utilization of a portion or all of the available federal and state NOL carryforwards that existed as of June 30,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current quarter differs from the U.S. federal statutory rate of 21% primarily due to:</w:t>
      </w:r>
    </w:p>
    <w:p>
      <w:pPr>
        <w:spacing w:after="0" w:line="171" w:lineRule="exact"/>
        <w:rPr>
          <w:sz w:val="20"/>
          <w:szCs w:val="20"/>
          <w:color w:val="auto"/>
        </w:rPr>
      </w:pPr>
    </w:p>
    <w:p>
      <w:pPr>
        <w:ind w:left="660" w:right="7640"/>
        <w:spacing w:after="0" w:line="238" w:lineRule="auto"/>
        <w:rPr>
          <w:sz w:val="20"/>
          <w:szCs w:val="20"/>
          <w:color w:val="auto"/>
        </w:rPr>
      </w:pPr>
      <w:r>
        <w:rPr>
          <w:rFonts w:ascii="Times New Roman" w:cs="Times New Roman" w:eastAsia="Times New Roman" w:hAnsi="Times New Roman"/>
          <w:sz w:val="18"/>
          <w:szCs w:val="18"/>
          <w:color w:val="auto"/>
        </w:rPr>
        <w:t>State income taxes, net of federal benefit Officer life insurance</w:t>
      </w:r>
    </w:p>
    <w:p>
      <w:pPr>
        <w:ind w:left="660" w:right="7040"/>
        <w:spacing w:after="0" w:line="226" w:lineRule="auto"/>
        <w:rPr>
          <w:sz w:val="20"/>
          <w:szCs w:val="20"/>
          <w:color w:val="auto"/>
        </w:rPr>
      </w:pPr>
      <w:r>
        <w:rPr>
          <w:rFonts w:ascii="Times New Roman" w:cs="Times New Roman" w:eastAsia="Times New Roman" w:hAnsi="Times New Roman"/>
          <w:sz w:val="18"/>
          <w:szCs w:val="18"/>
          <w:color w:val="auto"/>
        </w:rPr>
        <w:t>Non-deductible meals and entertainment expense Research and development tax credits</w:t>
      </w:r>
    </w:p>
    <w:p>
      <w:pPr>
        <w:spacing w:after="0" w:line="1" w:lineRule="exact"/>
        <w:rPr>
          <w:sz w:val="20"/>
          <w:szCs w:val="20"/>
          <w:color w:val="auto"/>
        </w:rPr>
      </w:pPr>
    </w:p>
    <w:p>
      <w:pPr>
        <w:ind w:left="340"/>
        <w:spacing w:after="0" w:line="219" w:lineRule="auto"/>
        <w:rPr>
          <w:sz w:val="20"/>
          <w:szCs w:val="20"/>
          <w:color w:val="auto"/>
        </w:rPr>
      </w:pPr>
      <w:r>
        <w:rPr>
          <w:rFonts w:ascii="Times New Roman" w:cs="Times New Roman" w:eastAsia="Times New Roman" w:hAnsi="Times New Roman"/>
          <w:sz w:val="18"/>
          <w:szCs w:val="18"/>
          <w:color w:val="auto"/>
        </w:rPr>
        <w:t>Nondeductible stock options expense</w:t>
      </w:r>
    </w:p>
    <w:p>
      <w:pPr>
        <w:ind w:left="340"/>
        <w:spacing w:after="0"/>
        <w:rPr>
          <w:sz w:val="20"/>
          <w:szCs w:val="20"/>
          <w:color w:val="auto"/>
        </w:rPr>
      </w:pPr>
      <w:r>
        <w:rPr>
          <w:rFonts w:ascii="Times New Roman" w:cs="Times New Roman" w:eastAsia="Times New Roman" w:hAnsi="Times New Roman"/>
          <w:sz w:val="18"/>
          <w:szCs w:val="18"/>
          <w:color w:val="auto"/>
        </w:rPr>
        <w:t>Changes in valuation allowances on deferred tax assets</w:t>
      </w:r>
    </w:p>
    <w:p>
      <w:pPr>
        <w:spacing w:after="0" w:line="1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will provide the enhanced annual disclosures required by ASU 2023-09, including the detailed rate reconciliation and jurisdictional income taxes paid, in its Form 10-K for the year ending June 30, 2026.</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material changes in uncertain tax positions or valuation allowances were recorded during the three- and six-month periods ended December 31, 2025 or 2024.</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CREDIT FACILITY</w:t>
      </w:r>
    </w:p>
    <w:p>
      <w:pPr>
        <w:spacing w:after="0" w:line="17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December 31, 2025, the Company was in compliance with all covenants related to the Credit Agreement. As of December 31, 2025 and June 30, 2025, there were no outstanding borrowings on the facility.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6.</w:t>
        <w:tab/>
        <w:t>REVENUE RECOGNITION</w:t>
      </w:r>
    </w:p>
    <w:p>
      <w:pPr>
        <w:spacing w:after="0" w:line="18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6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5"/>
        </w:trPr>
        <w:tc>
          <w:tcPr>
            <w:tcW w:w="4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183"/>
        </w:trPr>
        <w:tc>
          <w:tcPr>
            <w:tcW w:w="4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43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2,249,103</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2,181,541</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5,570,841</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4,348,905</w:t>
            </w:r>
          </w:p>
        </w:tc>
      </w:tr>
      <w:tr>
        <w:trPr>
          <w:trHeight w:val="189"/>
        </w:trPr>
        <w:tc>
          <w:tcPr>
            <w:tcW w:w="43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Export</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612,276</w:t>
            </w:r>
          </w:p>
        </w:tc>
        <w:tc>
          <w:tcPr>
            <w:tcW w:w="1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1,375,545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1,361,316</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2,410,049</w:t>
            </w:r>
          </w:p>
        </w:tc>
      </w:tr>
      <w:tr>
        <w:trPr>
          <w:trHeight w:val="183"/>
        </w:trPr>
        <w:tc>
          <w:tcPr>
            <w:tcW w:w="438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2,861,379</w:t>
            </w: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3,557,086</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6,932,157</w:t>
            </w: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6,758,954</w:t>
            </w:r>
          </w:p>
        </w:tc>
      </w:tr>
      <w:tr>
        <w:trPr>
          <w:trHeight w:val="20"/>
        </w:trPr>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Deferred revenue relates primarily to consumer and customer warranties. These constitute future performance obligations, and the Company defers revenue related to these future performance obligations. Effective July 1, 2023, the Company increased its deferral rates from 2.4% to 3% for domestic sales and decreased its deferral rate from 10% to 8% for export sales to reflect recent warranty experience. In the six months ended December 31, 2025 and 2024, the Company recognized revenue, which was included in the deferred revenue liability at the beginning of those periods of $153,935 and $141,787, respectively, for performance obligations related to consumer and customer warranties. The Company estimates that the deferred revenue performance obligations are satisfied within one year to three years and therefore uses that same timeframe for recognition of the deferred revenue.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INCOME (LOSS) PER COMMON AND COMMON STOCK EQUIVALENT SHARE</w:t>
      </w:r>
    </w:p>
    <w:p>
      <w:pPr>
        <w:spacing w:after="0" w:line="171" w:lineRule="exact"/>
        <w:rPr>
          <w:sz w:val="20"/>
          <w:szCs w:val="20"/>
          <w:color w:val="auto"/>
        </w:rPr>
      </w:pPr>
    </w:p>
    <w:p>
      <w:pPr>
        <w:jc w:val="both"/>
        <w:ind w:right="480"/>
        <w:spacing w:after="0" w:line="242" w:lineRule="auto"/>
        <w:rPr>
          <w:sz w:val="20"/>
          <w:szCs w:val="20"/>
          <w:color w:val="auto"/>
        </w:rPr>
      </w:pPr>
      <w:r>
        <w:rPr>
          <w:rFonts w:ascii="Times New Roman" w:cs="Times New Roman" w:eastAsia="Times New Roman" w:hAnsi="Times New Roman"/>
          <w:sz w:val="18"/>
          <w:szCs w:val="18"/>
          <w:color w:val="auto"/>
        </w:rPr>
        <w:t>Basic income (loss) per common share is computed based on the weighted-average number of common shares outstanding. Diluted income (loss) per common share is calculated assuming the exercise of stock options except where the result would be anti-dilutive. The following table reconciles the numerator and denominator used to calculate basic and diluted income (loss) per share: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3"/>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6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(565,407)</w:t>
            </w:r>
          </w:p>
        </w:tc>
        <w:tc>
          <w:tcPr>
            <w:tcW w:w="3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94,142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(321,678)</w:t>
            </w:r>
          </w:p>
        </w:tc>
        <w:tc>
          <w:tcPr>
            <w:tcW w:w="240" w:type="dxa"/>
            <w:vAlign w:val="bottom"/>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(325,393)</w:t>
            </w:r>
          </w:p>
        </w:tc>
        <w:tc>
          <w:tcPr>
            <w:tcW w:w="0" w:type="dxa"/>
            <w:vAlign w:val="bottom"/>
          </w:tcPr>
          <w:p>
            <w:pPr>
              <w:spacing w:after="0"/>
              <w:rPr>
                <w:sz w:val="1"/>
                <w:szCs w:val="1"/>
                <w:color w:val="auto"/>
              </w:rPr>
            </w:pPr>
          </w:p>
        </w:tc>
      </w:tr>
      <w:tr>
        <w:trPr>
          <w:trHeight w:val="371"/>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basic</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9,462,416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9,355,686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9,459,427</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9,332,844</w:t>
            </w:r>
          </w:p>
        </w:tc>
        <w:tc>
          <w:tcPr>
            <w:tcW w:w="0" w:type="dxa"/>
            <w:vAlign w:val="bottom"/>
          </w:tcPr>
          <w:p>
            <w:pPr>
              <w:spacing w:after="0"/>
              <w:rPr>
                <w:sz w:val="1"/>
                <w:szCs w:val="1"/>
                <w:color w:val="auto"/>
              </w:rPr>
            </w:pPr>
          </w:p>
        </w:tc>
      </w:tr>
      <w:tr>
        <w:trPr>
          <w:trHeight w:val="189"/>
        </w:trPr>
        <w:tc>
          <w:tcPr>
            <w:tcW w:w="6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Dilutive effect of stock compensation awards (1)</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273,849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60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Diluted shares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9,462,416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9,629,535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9,459,427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9,332,844</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right="260" w:firstLine="8"/>
        <w:spacing w:after="0" w:line="279" w:lineRule="auto"/>
        <w:tabs>
          <w:tab w:leader="none" w:pos="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stock options excluded during the three months ended December 31, 2025 and the six months ended December 31, 2025 and 2024 due to anti-dilution were 72,696, 98,030, and 425,304, respectively. For the three months ended December 31, 2024, no stock options were anti-dilutive.</w:t>
      </w:r>
    </w:p>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RELATED PARTY TRANSACTIONS</w:t>
      </w:r>
    </w:p>
    <w:p>
      <w:pPr>
        <w:spacing w:after="0" w:line="18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Company leases its facility in Milwaukee, Wisconsin from Koss Holdings, LLC, which is controlled by five equal ownership interests in trusts held by the five beneficiaries of a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 per year and included an option to renew at an increased rate of $397,000 for an additional five years ending June 30, 2033. The negotiated increase in rent slated for 2028 will be the first increase in rent since 1996. The Company is responsible for all property maintenance, insurance, taxes and other normal expenses related to ownership.</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ACCOUNTS RECEIVABLE CONCENTRATIONS</w:t>
      </w:r>
    </w:p>
    <w:p>
      <w:pPr>
        <w:spacing w:after="0" w:line="171" w:lineRule="exact"/>
        <w:rPr>
          <w:sz w:val="20"/>
          <w:szCs w:val="20"/>
          <w:color w:val="auto"/>
        </w:rPr>
      </w:pPr>
    </w:p>
    <w:p>
      <w:pPr>
        <w:ind w:right="480"/>
        <w:spacing w:after="0" w:line="251" w:lineRule="auto"/>
        <w:rPr>
          <w:sz w:val="20"/>
          <w:szCs w:val="20"/>
          <w:color w:val="auto"/>
        </w:rPr>
      </w:pPr>
      <w:r>
        <w:rPr>
          <w:rFonts w:ascii="Times New Roman" w:cs="Times New Roman" w:eastAsia="Times New Roman" w:hAnsi="Times New Roman"/>
          <w:sz w:val="17"/>
          <w:szCs w:val="17"/>
          <w:color w:val="auto"/>
        </w:rPr>
        <w:t>As of December 31, 2025, three of the Company’s customers each represented more than 10% of total accounts receivable, and collectively these customers accounted for approximately 46% of total accounts receivable (19%, 14% and 13%, respectively). At June 30, 2025, three customers each represented more than 10% of total accounts receivable (16%, 13% and 11%, respectively), comprising approximately 40% of total trade receivables.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SEGMENT INFORMATION</w:t>
      </w:r>
    </w:p>
    <w:p>
      <w:pPr>
        <w:spacing w:after="0" w:line="1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has a single reportable segment, the design, manufacture and sale of headphones and related accessories, which reflects the manner in which the Company’s Chief Executive Officer, who is the Company’s chief operating decision maker (“CODM”), regularly reviews financial information to manage the business, allocate resources and assess performance. The headphones are sold through retailers and distributors both domestically and internationally, as well as direct-to-consumer.</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CODM regularly reviews revenue, certain significant expense categories, net income and select balance sheet items in evaluating segment performance. The significant segment expense categories and other segment items provided to the CODM and included in the measure of segment profit or loss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6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c>
          <w:tcPr>
            <w:tcW w:w="30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5"/>
        </w:trPr>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183"/>
        </w:trPr>
        <w:tc>
          <w:tcPr>
            <w:tcW w:w="4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2,861,379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3,557,086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6,932,157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1"/>
              <w:spacing w:after="0" w:line="209" w:lineRule="exact"/>
              <w:rPr>
                <w:sz w:val="20"/>
                <w:szCs w:val="20"/>
                <w:color w:val="auto"/>
              </w:rPr>
            </w:pPr>
            <w:r>
              <w:rPr>
                <w:rFonts w:ascii="Calibri" w:cs="Calibri" w:eastAsia="Calibri" w:hAnsi="Calibri"/>
                <w:sz w:val="20"/>
                <w:szCs w:val="20"/>
                <w:color w:val="auto"/>
                <w:w w:val="7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6,758,954</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2,030,573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4,472,659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4,181,071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product certification and compliance testing</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90,970</w:t>
            </w: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and professional expense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418,239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557,302</w:t>
            </w: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expense (income)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(62,710)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134,665</w:t>
            </w: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1,353,162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2,624,843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2,573,863</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1,845,384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1,546,741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3,356,800</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(565,407)</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(321,678)</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(325,393)</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income (loss) includes interest income, other income, interest expense and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also reviews the following balance sheet items at period-end as part of performance monitoring and resource allocation decisions: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19"/>
                <w:szCs w:val="19"/>
                <w:color w:val="auto"/>
              </w:rPr>
            </w:pPr>
          </w:p>
        </w:tc>
        <w:tc>
          <w:tcPr>
            <w:tcW w:w="2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183"/>
        </w:trPr>
        <w:tc>
          <w:tcPr>
            <w:tcW w:w="6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2,464,838</w:t>
            </w:r>
          </w:p>
        </w:tc>
        <w:tc>
          <w:tcPr>
            <w:tcW w:w="1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2,807,797</w:t>
            </w:r>
          </w:p>
        </w:tc>
      </w:tr>
      <w:tr>
        <w:trPr>
          <w:trHeight w:val="189"/>
        </w:trPr>
        <w:tc>
          <w:tcPr>
            <w:tcW w:w="6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Short term investments</w:t>
            </w:r>
          </w:p>
        </w:tc>
        <w:tc>
          <w:tcPr>
            <w:tcW w:w="280" w:type="dxa"/>
            <w:vAlign w:val="bottom"/>
          </w:tcPr>
          <w:p>
            <w:pPr>
              <w:spacing w:after="0"/>
              <w:rPr>
                <w:sz w:val="16"/>
                <w:szCs w:val="16"/>
                <w:color w:val="auto"/>
              </w:rPr>
            </w:pPr>
          </w:p>
        </w:tc>
        <w:tc>
          <w:tcPr>
            <w:tcW w:w="2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13,005,592</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12,879,882</w:t>
            </w:r>
          </w:p>
        </w:tc>
      </w:tr>
      <w:tr>
        <w:trPr>
          <w:trHeight w:val="189"/>
        </w:trPr>
        <w:tc>
          <w:tcPr>
            <w:tcW w:w="6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 term investments</w:t>
            </w:r>
          </w:p>
        </w:tc>
        <w:tc>
          <w:tcPr>
            <w:tcW w:w="28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3,994,317</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4,000,774</w:t>
            </w:r>
          </w:p>
        </w:tc>
      </w:tr>
      <w:tr>
        <w:trPr>
          <w:trHeight w:val="189"/>
        </w:trPr>
        <w:tc>
          <w:tcPr>
            <w:tcW w:w="6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6"/>
                <w:szCs w:val="16"/>
                <w:color w:val="auto"/>
              </w:rPr>
            </w:pPr>
          </w:p>
        </w:tc>
        <w:tc>
          <w:tcPr>
            <w:tcW w:w="2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4,838,377</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4,885,067</w:t>
            </w:r>
          </w:p>
        </w:tc>
      </w:tr>
      <w:tr>
        <w:trPr>
          <w:trHeight w:val="189"/>
        </w:trPr>
        <w:tc>
          <w:tcPr>
            <w:tcW w:w="6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36,769,678</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37,184,609</w:t>
            </w:r>
          </w:p>
        </w:tc>
      </w:tr>
    </w:tbl>
    <w:p>
      <w:pPr>
        <w:spacing w:after="0" w:line="17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applied the provisions of ASU 2023-07 retrospectively and has included comparative information for the three and six months ended December 31, 2024 for statement of operations items. Because the Company operates as a single reportable segment, the amounts above reconcile directly to the corresponding condensed consolidated financial statement line items. There was no impact on previously reported consolidated net income, financial position or cash flows.</w:t>
      </w:r>
    </w:p>
    <w:p>
      <w:pPr>
        <w:spacing w:after="0" w:line="158"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is involved in the matters described below:</w:t>
      </w:r>
    </w:p>
    <w:p>
      <w:pPr>
        <w:spacing w:after="0" w:line="17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Company maintains a program focused on enforcing its intellectual property and, in particular, certain patents in its patent portfolio. As part of this program, the Company filed complaints against certain parties alleging infringement on the Company’s patents relating to its wireless audio technology. 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condensed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ultimate resolution of these matters is not determinable unless otherwise noted.</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November 20, 2025, the Company resolved its lawsuit against PEAG, LLC d/b/a JLab Audio and granted a license covering certain of its patents. Gross proceeds of $250,000 were recognized and recorded as other income during the three and six months ended December 31, 2025. Total contingent legal fees and related expenses of $250,000 offset these proceeds and were recorded as a selling, general and administrative expense during the three and six months ended December 31, 2025.</w:t>
      </w:r>
    </w:p>
    <w:p>
      <w:pPr>
        <w:spacing w:after="0" w:line="158"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18"/>
          <w:szCs w:val="18"/>
          <w:color w:val="auto"/>
        </w:rPr>
        <w:t>In early fiscal 2020, the Company was notified by One-E-Way, Inc. (“One-E-Way”) that some of the Company's wireless products may infringe on certain One-E-Way patents. A Supplemental Notice of Infringement was served on the Company on March 18, 2025 and the complaint was resolved in September 2025. The matter was resolved at a cost of $22,200 and had been adequately accrued for as of June 30, 2025.</w:t>
      </w:r>
    </w:p>
    <w:p>
      <w:pPr>
        <w:spacing w:after="0" w:line="15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is also subject to a variety of other claims and suits that arise from time to time in the ordinary course of its business. Although management currently believes that resolving these claims against the Company, individually or in the aggregate, will not have a material adverse impact on its condensed consolidated financial statements, these matters are subject to inherent uncertainties and management’s view of these matters may change in the future.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10-Q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10-Q, the words “anticipates,” “believes,” “estimates,” “expects,” “intends,” “plans,” “may,” “will,” “shall,” “should,” “could,” “would,” “forecasts,” “predicts,” “potential,” “continue”, “seeks”, “goal”, “projects” and variations thereof and similar expressions are intended to identify forward-looking statements.</w:t>
      </w:r>
    </w:p>
    <w:p>
      <w:pPr>
        <w:spacing w:after="0" w:line="158"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10-Q, or in other Company filings, press releases, or otherwise. In addition to the factors discussed in this Form 10-Q,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trade tensions between the U.S. and China given recently enacted tariffs and their uncertainty; the impact of the ongoing conflict in Eastern Europe and the instability in the Middle East on the Company’s operations; the effects of any judicial, executive or legislative action affecting the Company or the audio/video industry; borrowing costs; changes in tax rates; the outcome of any litigation, government investigations, enforcement actions or other legal proceedings; the Company’s ability to retain and hire key personnel and other risk factors described in the Risk Factors and in Management’s Discussion and Analysis of Financial Condition and Results of Operations sections of the Company’s Annual Report on Form 10-K for the fiscal year ended June 30, 2025 and subsequently filed Quarterly Reports on Form 10-Q.</w:t>
      </w:r>
    </w:p>
    <w:p>
      <w:pPr>
        <w:spacing w:after="0" w:line="16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supplements our management’s discussion and analysis for the year ended June 30, 2025 as contained in our Annual Report on Form 10-K filed with the Securities and Exchange Commission on August 29, 2025, and presumes that readers have read or have access to such discussion and analysis. The following discussion and analysis should also be read together with the unaudited consolidated financial statements and the related notes thereto included elsewhere in this Quarterly Report on Form 10-Q. This discussion contains forward-looking statements that reflect our plans and strategy for our business and involve risks and uncertainties. You should review the “Risk Factors” section of our Annual Report on Form 10-K for the fiscal year ended June 30, 2025, as updated by subsequent filings with the Securities and Exchange Commission, for a discussion of important factors that could cause actual results to differ materially from the results described in or implied by the forward-looking statements contained in the following discussion and analysis. You should carefully read “Cautionary Statement Regarding Forward-Looking Statements” in this Quarterly Report on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Company initially developed stereo headphones in 1958 and has been recognized as a leader in the industry ever since. Koss markets a complete line of high-fidelity headphones, wireless Bluetooth® headphones, wireless Bluetooth® speakers, computer headsets, telecommunications headsets, and active noise canceling headphones. The Company operates as one business segment, as its principal business line is the design, manufacture and sale of stereo headphones and related accessories.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gridSpan w:val="5"/>
          </w:tcPr>
          <w:p>
            <w:pPr>
              <w:ind w:left="4960"/>
              <w:spacing w:after="0"/>
              <w:rPr>
                <w:sz w:val="20"/>
                <w:szCs w:val="20"/>
                <w:color w:val="auto"/>
              </w:rPr>
            </w:pPr>
            <w:r>
              <w:rPr>
                <w:rFonts w:ascii="Times New Roman" w:cs="Times New Roman" w:eastAsia="Times New Roman" w:hAnsi="Times New Roman"/>
                <w:sz w:val="18"/>
                <w:szCs w:val="18"/>
                <w:b w:val="1"/>
                <w:bCs w:val="1"/>
                <w:color w:val="auto"/>
              </w:rPr>
              <w:t>Financial Results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data for the three and six months ended December 31, 2025 and 2024:</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2,861,379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3,557,086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6,932,157</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6,758,954</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sales increase (decrease) % from prior year period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(19.6)%</w:t>
            </w: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830,806</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1,404,957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2,459,498</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2,577,883</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Gross profit as % of net sales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1,845,384</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1,546,741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3,520,116</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3,356,800</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 as % of net sales</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202,484</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238,686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495,612</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459,044</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6"/>
                <w:szCs w:val="16"/>
                <w:color w:val="auto"/>
              </w:rPr>
            </w:pPr>
          </w:p>
        </w:tc>
        <w:tc>
          <w:tcPr>
            <w:tcW w:w="460" w:type="dxa"/>
            <w:vAlign w:val="bottom"/>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6"/>
                <w:szCs w:val="16"/>
                <w:color w:val="auto"/>
              </w:rPr>
            </w:pPr>
          </w:p>
        </w:tc>
        <w:tc>
          <w:tcPr>
            <w:tcW w:w="4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gridSpan w:val="2"/>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(553)</w:t>
            </w:r>
          </w:p>
        </w:tc>
        <w:tc>
          <w:tcPr>
            <w:tcW w:w="460" w:type="dxa"/>
            <w:vAlign w:val="bottom"/>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(1,152)</w:t>
            </w:r>
          </w:p>
        </w:tc>
        <w:tc>
          <w:tcPr>
            <w:tcW w:w="4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(loss) before income tax provision</w:t>
            </w:r>
          </w:p>
        </w:tc>
        <w:tc>
          <w:tcPr>
            <w:tcW w:w="3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(562,647)</w:t>
            </w:r>
          </w:p>
        </w:tc>
        <w:tc>
          <w:tcPr>
            <w:tcW w:w="460" w:type="dxa"/>
            <w:vAlign w:val="bottom"/>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96,902</w:t>
            </w:r>
          </w:p>
        </w:tc>
        <w:tc>
          <w:tcPr>
            <w:tcW w:w="160" w:type="dxa"/>
            <w:vAlign w:val="bottom"/>
          </w:tcPr>
          <w:p>
            <w:pPr>
              <w:spacing w:after="0"/>
              <w:rPr>
                <w:sz w:val="16"/>
                <w:szCs w:val="16"/>
                <w:color w:val="auto"/>
              </w:rPr>
            </w:pP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(316,158)</w:t>
            </w:r>
          </w:p>
        </w:tc>
        <w:tc>
          <w:tcPr>
            <w:tcW w:w="4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(319,873)</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(loss) before income tax provision as % of net sales</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(19.7)%</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89"/>
        </w:trPr>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16"/>
                <w:szCs w:val="16"/>
                <w:color w:val="auto"/>
              </w:rPr>
            </w:pPr>
          </w:p>
        </w:tc>
        <w:tc>
          <w:tcPr>
            <w:tcW w:w="460" w:type="dxa"/>
            <w:vAlign w:val="bottom"/>
          </w:tcPr>
          <w:p>
            <w:pPr>
              <w:jc w:val="right"/>
              <w:ind w:right="2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2,760</w:t>
            </w:r>
          </w:p>
        </w:tc>
        <w:tc>
          <w:tcPr>
            <w:tcW w:w="160" w:type="dxa"/>
            <w:vAlign w:val="bottom"/>
          </w:tcPr>
          <w:p>
            <w:pPr>
              <w:spacing w:after="0"/>
              <w:rPr>
                <w:sz w:val="16"/>
                <w:szCs w:val="16"/>
                <w:color w:val="auto"/>
              </w:rPr>
            </w:pP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5,520</w:t>
            </w:r>
          </w:p>
        </w:tc>
        <w:tc>
          <w:tcPr>
            <w:tcW w:w="140" w:type="dxa"/>
            <w:vAlign w:val="bottom"/>
          </w:tcPr>
          <w:p>
            <w:pPr>
              <w:spacing w:after="0"/>
              <w:rPr>
                <w:sz w:val="16"/>
                <w:szCs w:val="16"/>
                <w:color w:val="auto"/>
              </w:rPr>
            </w:pPr>
          </w:p>
        </w:tc>
        <w:tc>
          <w:tcPr>
            <w:tcW w:w="4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5,520</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provision as % of income (loss) before income tax provision</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2026 Period Results Compared with Fiscal 2025 Period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(comments refer to the three and six-month periods ended December 31, 2025 and 2024 unless otherwise noted)</w:t>
      </w:r>
    </w:p>
    <w:p>
      <w:pPr>
        <w:spacing w:after="0" w:line="16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Net sales for the three months ended December 31, 2025 totaled $2,861,000, a decrease of $696,000, or 19.6%, compared to $3,557,000 for the three months ended December 31, 2024. The decrease was almost entirely due to new product sales to the European market in the second three months of the prior year, which did not repeat at the same level in the current period. Gains in sales to certain of the Company’s domestic distributors and a slight increase in direct-to-consumer (DTC) sales slightly offset the declines. For the six months ended December 31, 2025, sales of $6,932,000 were $173,000, or 2.6%, ahead of the same period in the prior year as a result of a considerable sale of custom headphones to a customer in the Education segment, offset by deficits in sales to European distributors.</w:t>
      </w:r>
    </w:p>
    <w:p>
      <w:pPr>
        <w:spacing w:after="0" w:line="15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Export sales of $612,000 for the three months ended December 31, 2025 were $763,000, or 55.5%, behind sales of $1,375,000 for the second quarter of the prior fiscal year. Sales to our largest distributors in central and northern Europe were down 69.0%, largely as a result of higher, continued restock shipments during the three months ended December 31, 2024 of the new products launched in the first quarter of that year. For the first half of fiscal year 2026, export sales were $1,361,000 compared to $2,410,000 for the same period in the prior year, a decrease of $1,049,000, or 43.5%. Significant new product sales in the prior year were the primary driver of lower current year sales. Strong sales to our Asian distributors, an increase of 115% compared to the prior year, helped to offset some of the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the domestic markets of $2,249,000 for the three months ended December 31, 2025 reflect a $68,000, or 3.1%, increase over sales of $2,181,000 in</w:t>
      </w:r>
    </w:p>
    <w:p>
      <w:pPr>
        <w:spacing w:after="0" w:line="237" w:lineRule="auto"/>
        <w:rPr>
          <w:sz w:val="20"/>
          <w:szCs w:val="20"/>
          <w:color w:val="auto"/>
        </w:rPr>
      </w:pPr>
      <w:r>
        <w:rPr>
          <w:rFonts w:ascii="Times New Roman" w:cs="Times New Roman" w:eastAsia="Times New Roman" w:hAnsi="Times New Roman"/>
          <w:sz w:val="18"/>
          <w:szCs w:val="18"/>
          <w:color w:val="auto"/>
        </w:rPr>
        <w:t>the three months ended December 31, 2024. Following a slowdown in orders, clear color headphone sales rose by nearly 31% as major domestic</w:t>
      </w:r>
    </w:p>
    <w:p>
      <w:pPr>
        <w:spacing w:after="0" w:line="234" w:lineRule="auto"/>
        <w:rPr>
          <w:sz w:val="20"/>
          <w:szCs w:val="20"/>
          <w:color w:val="auto"/>
        </w:rPr>
      </w:pPr>
      <w:r>
        <w:rPr>
          <w:rFonts w:ascii="Times New Roman" w:cs="Times New Roman" w:eastAsia="Times New Roman" w:hAnsi="Times New Roman"/>
          <w:sz w:val="18"/>
          <w:szCs w:val="18"/>
          <w:color w:val="auto"/>
        </w:rPr>
        <w:t>distributors restocked their inventory to meet shifting customer demand. A 5.3% rise in DTC sales versus the prior three-month period helped boost</w:t>
      </w:r>
    </w:p>
    <w:p>
      <w:pPr>
        <w:spacing w:after="0" w:line="220" w:lineRule="auto"/>
        <w:rPr>
          <w:sz w:val="20"/>
          <w:szCs w:val="20"/>
          <w:color w:val="auto"/>
        </w:rPr>
      </w:pPr>
      <w:r>
        <w:rPr>
          <w:rFonts w:ascii="Times New Roman" w:cs="Times New Roman" w:eastAsia="Times New Roman" w:hAnsi="Times New Roman"/>
          <w:sz w:val="18"/>
          <w:szCs w:val="18"/>
          <w:color w:val="auto"/>
        </w:rPr>
        <w:t>domestic sales growth, but a one-time custom sale made in the three months ended December 31, 2024 offset the majority of the total sales uplift. For the</w:t>
      </w:r>
    </w:p>
    <w:p>
      <w:pPr>
        <w:spacing w:after="0" w:line="219" w:lineRule="auto"/>
        <w:rPr>
          <w:sz w:val="20"/>
          <w:szCs w:val="20"/>
          <w:color w:val="auto"/>
        </w:rPr>
      </w:pPr>
      <w:r>
        <w:rPr>
          <w:rFonts w:ascii="Times New Roman" w:cs="Times New Roman" w:eastAsia="Times New Roman" w:hAnsi="Times New Roman"/>
          <w:sz w:val="18"/>
          <w:szCs w:val="18"/>
          <w:color w:val="auto"/>
        </w:rPr>
        <w:t>six months ended December 31, 2025, domestic market sales grew to $5,571,000 from $4,349,000 for the same six-month period in fiscal year 2025, a</w:t>
      </w:r>
    </w:p>
    <w:p>
      <w:pPr>
        <w:spacing w:after="0" w:line="235" w:lineRule="auto"/>
        <w:rPr>
          <w:sz w:val="20"/>
          <w:szCs w:val="20"/>
          <w:color w:val="auto"/>
        </w:rPr>
      </w:pPr>
      <w:r>
        <w:rPr>
          <w:rFonts w:ascii="Times New Roman" w:cs="Times New Roman" w:eastAsia="Times New Roman" w:hAnsi="Times New Roman"/>
          <w:sz w:val="18"/>
          <w:szCs w:val="18"/>
          <w:color w:val="auto"/>
        </w:rPr>
        <w:t>$1,222,000, or 28.1% increase. The sizable custom headphone sale in the Education market during the first quarter was the main driver for the overall sales</w:t>
      </w:r>
    </w:p>
    <w:p>
      <w:pPr>
        <w:spacing w:after="0"/>
        <w:rPr>
          <w:sz w:val="20"/>
          <w:szCs w:val="20"/>
          <w:color w:val="auto"/>
        </w:rPr>
      </w:pPr>
      <w:r>
        <w:rPr>
          <w:rFonts w:ascii="Times New Roman" w:cs="Times New Roman" w:eastAsia="Times New Roman" w:hAnsi="Times New Roman"/>
          <w:sz w:val="18"/>
          <w:szCs w:val="18"/>
          <w:color w:val="auto"/>
        </w:rPr>
        <w:t>improvement in the current fiscal year.</w:t>
      </w:r>
    </w:p>
    <w:p>
      <w:pPr>
        <w:spacing w:after="0" w:line="165"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Gross profit as a percentage of net sales for the three months ended December 31, 2025 was 29.0% against a gross profit percentage of 39.5% for the comparable period in the prior year, a decrease of 10.5%. For the six months ended December 31, 2025, gross margins were 35.5% versus 38.1% for the same six-month period in the prior year. The current year’s erosion in margins is predominantly a result of the impact of tariffs on inventory that was sold throughout the second quarter and entire first half of fiscal 2026, some of which was tariffed at 145%. A favorable customer mix, including higher sales of higher margin domestic distributor and DTC sales, offset some of the adverse impact of the tariffs.</w:t>
      </w:r>
    </w:p>
    <w:p>
      <w:pPr>
        <w:spacing w:after="0" w:line="16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Freight costs increased modestly during the second quarter of fiscal 2026 as planned peak season surcharges came into effect. Despite this, overall rates remained low due to ample capacity and soft overall demand. Shipment costs are expected to decline slightly in the third quarter as the peak season surcharges fall off. The Company continues its relationship with a dedicated freight forwarder but will be ceasing its relationship with the bonded warehouse as tariff rates have stabilized at 20%. The inventory at the bonded warehouse will be strategically withdrawn as needed to fulfill orders throughout the remainder of fiscal year 2026. The Company is prepared for the additional unloading, storage and loading costs at the facility in exchange for deferred payments to the Custom Border Patrol for stored product until needed. Ongoing monitoring of developments will help the Company adapt and maintain product availability.</w:t>
      </w:r>
    </w:p>
    <w:p>
      <w:pPr>
        <w:spacing w:after="0" w:line="15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Tariff policies have fluctuated over the last twelve months, particularly with respect to trade policies and tariffs applied to trade between China and the U.S. The Company is currently subject to certain tariff rates on products manufactured in China that are now lower than those previously imposed and should remain stable until November 2026, but future changes in trade policy could result in significantly higher duties. Federal courts have ruled that the broad tariffs imposed under the International Emergency Economic Powers Act (IEEPA) are illegal and exceeded the President’s statutory authority. The Supreme Court heard oral arguments on November 5, 2025 to consider the IEEPA tariffs in the consolidated case of Learning Resources v. Trump, and other companies have joined in the IEEPA tariff dispute. As of mid-January 2026, the U.S. Supreme Cout had not yet issued a decision. If the Supreme Court ultimately rules that the IEEPA tariffs were illegally imposed, importers could seek reliquidation and refunds, though the administration could turn to other statutes to support tariffs. Given the volatility of the tariff landscape and the substantial amount of product coming from China, the Company continues to closely monitor the latest updates and their impact on operations, planning efforts and financial conditions.</w:t>
      </w:r>
    </w:p>
    <w:p>
      <w:pPr>
        <w:spacing w:after="0" w:line="159"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Selling, general, and administrative expenses totaled $1,845,000 for the three months ended December 31, 2025, an increase of $298,000, or 19.3%, in comparison to $1,547,000 for the same period in the prior year. For the six months ended December 31, 2025, selling, general and administrative expenses were $3,520,000, an increase of $163,000, or 4.9%, versus $3,357,000 for the six-month period ended December 31, 2024. The increases for both the three- and six- month periods are due mostly to the $250,000 in legal fees and expenses incurred as a result of litigation related to patent defense that was resolved during the second quarter of fiscal year 2026. An increase in the deferred compensation expense year over year, due to declining interest rates used to calculate the related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and an increase in the annual payments under the plan given an additional year of service was completed, was mostly offset by a decline in other legal and professional fees unrelated to patent litigation.</w:t>
      </w:r>
    </w:p>
    <w:p>
      <w:pPr>
        <w:spacing w:after="0" w:line="14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Other income for the three and six months ended December 31, 2025 consisted entirely of $250,000 in non-recurring licensing proceeds. There was no other income recorded for the three and six months ended December 31, 2024.</w:t>
      </w:r>
    </w:p>
    <w:p>
      <w:pPr>
        <w:spacing w:after="0" w:line="149"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State tax expense of $2,760 was recorded for each of the three months ended December 31, 2025 and 2024 and $5,520 was recorded for each of the six months ended December 31, 2025 and 2024, reflecting the minimum required state tax due. No federal income tax was recorded during the first half of fiscal year 2026 due to net operating loss (NOL) carryforwards available to offset most taxable income. The effective tax rate for the three and six months ended December 31, 2025 was less than 1% and 1.7%, respectively. The effective tax rate for the three and six months ended December 31, 2024 was 2.8% and 1.7%, respectively. It is anticipated that the effective rate in future years will continue to be reduced by utilization of a portion or all of the available federal and state NOL carryforwards that existed as of June 30, 2025.</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Company’s remaining expected federal tax loss carryforward approximates $34,760,000 at the end of the second quarter of fiscal year 2026, resulting in a deferred tax asset related to the Company's federal and state net operating loss carry forwards of roughly $8,877,000 as of December 31, 2025. The valuation allowance was adjusted accordingly to fully offset the net deferred tax asset as there is not sufficient positive evidence to support a reduction in a full valuation allowance as, excluding unusual, infrequent items, a three-year cumulative tax loss has occurred.</w:t>
      </w:r>
    </w:p>
    <w:p>
      <w:pPr>
        <w:spacing w:after="0" w:line="158" w:lineRule="exact"/>
        <w:rPr>
          <w:sz w:val="20"/>
          <w:szCs w:val="20"/>
          <w:color w:val="auto"/>
        </w:rPr>
      </w:pPr>
    </w:p>
    <w:p>
      <w:pPr>
        <w:ind w:right="300"/>
        <w:spacing w:after="0" w:line="233" w:lineRule="auto"/>
        <w:rPr>
          <w:sz w:val="20"/>
          <w:szCs w:val="20"/>
          <w:color w:val="auto"/>
        </w:rPr>
      </w:pPr>
      <w:r>
        <w:rPr>
          <w:rFonts w:ascii="Times New Roman" w:cs="Times New Roman" w:eastAsia="Times New Roman" w:hAnsi="Times New Roman"/>
          <w:sz w:val="18"/>
          <w:szCs w:val="18"/>
          <w:color w:val="auto"/>
        </w:rPr>
        <w:t>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If efforts are successful, the Company may receive royalties, offers to purchase its intellectual property, or other remedies advantageous to its competitive position from time to time. However, there is no guarantee of a positive outcome from these efforts in the future, which could ultimately be time-consuming and unsuccessful. Additionally, the Company may owe all or a portion of any future proceeds arising from the enforcement program to third parties.</w:t>
      </w:r>
    </w:p>
    <w:p>
      <w:pPr>
        <w:spacing w:after="0" w:line="158"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Company believes that its financial position remains strong. The Company had $2.5 million of cash and cash equivalents, $13.0 million of short-term investments and available credit facilities of $5.0 million on December 31, 2025. The Company also had $4.0 million of long-term investments in U.S. treasury debt securities on December 31, 2025.</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Trends</w:t>
      </w:r>
    </w:p>
    <w:p>
      <w:pPr>
        <w:spacing w:after="0" w:line="189"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Recent and ongoing macroeconomic and geopolitical conditions have impacted, and will continue to impact, our business. These include economic uncertainty from tariff volatility and global trade tensions, persistent inflation pressures, a softening job market and rising long-term unemployment, still elevated borrowing costs, even after three quarter-point interest rate cuts in the first half of the Company’s fiscal year, steadily declining consumer confidence, disruption in our supply chain, the conflict in Eastern Europe and instability in the Middle East and increased risk of cyberattacks.</w:t>
      </w:r>
    </w:p>
    <w:p>
      <w:pPr>
        <w:spacing w:after="0" w:line="15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While the impact of these factors on our fiscal 2026 performance remains uncertain, we will continue to evaluate the extent to which these factors will impact our business, financial condition, or results of operations. These and other uncertainties with respect to these recent events could result in changes to our current expectations.</w:t>
      </w:r>
    </w:p>
    <w:p>
      <w:pPr>
        <w:spacing w:after="0" w:line="13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Government Shutdown - </w:t>
      </w:r>
      <w:r>
        <w:rPr>
          <w:rFonts w:ascii="Times New Roman" w:cs="Times New Roman" w:eastAsia="Times New Roman" w:hAnsi="Times New Roman"/>
          <w:sz w:val="18"/>
          <w:szCs w:val="18"/>
          <w:color w:val="auto"/>
        </w:rPr>
        <w:t>The federal government shutdown on October 1,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new appropriations or a continuing resolution failed to be passed.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resolution was signed on November 12, 2025 to reopen the government with an agreement to provide temporary funding for most agencies through January 30, 2026. The economic impact was generally modest with expectations for growth recovery, however, there are lingering impacts such as lack of timely critical economic data making gauging inflation and labor trends difficult, a backlog of small business loans, delays in federal licenses and SEC approvals, and supply chain disruptions in certain sectors such as aerospace and defense. Since the current funding agreement is only temporary, there is some renewed uncertainty as the deadline approaches. The Company does provide product to the federal government and fulfillment of these orders was delayed as a direct result of the shutdown.</w:t>
      </w:r>
    </w:p>
    <w:p>
      <w:pPr>
        <w:spacing w:after="0" w:line="223"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Tariffs - </w:t>
      </w:r>
      <w:r>
        <w:rPr>
          <w:rFonts w:ascii="Times New Roman" w:cs="Times New Roman" w:eastAsia="Times New Roman" w:hAnsi="Times New Roman"/>
          <w:sz w:val="18"/>
          <w:szCs w:val="18"/>
          <w:color w:val="auto"/>
        </w:rPr>
        <w:t>In April 2025, the U.S. government imposed tariffs of up to 145% in certain imports from China, which significantly increased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duty cost for goods sourced from China. Since then, President Trump and his administration have implemented several temporary pauses to allow for trade negotiations. In May 2025, a 90-day tariff truce between the U.S. and China reduced reciprocal tariffs down to 10%, however, an additional 20% fentanyl-related tariff remained, resulting in a total 30% tariff on many Chinese goods. In August 2025, President Trump signed an executive order extending the tariff pause for another 90 days, with the suspension of additional reciprocal tariffs on Chinese goods remaining in effect until November 10, 2025 while trade negotiations continue. On November 10, 2025, the fentanyl-related tariffs were reduced by half to 10% following an Executive Order by President Trump, the existing 10% reciprocal tariff rate remained in place and tariff exclusions were extended to November 2026. The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continues to monitor the volatile tariff landscape to assess its impact on inflation and consumer sentiment which could impact operations, planning, and financial conditions.</w:t>
      </w:r>
    </w:p>
    <w:p>
      <w:pPr>
        <w:spacing w:after="0" w:line="14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Inflationary Cost Environment and the Impact on Consumer Confidence – </w:t>
      </w:r>
      <w:r>
        <w:rPr>
          <w:rFonts w:ascii="Times New Roman" w:cs="Times New Roman" w:eastAsia="Times New Roman" w:hAnsi="Times New Roman"/>
          <w:sz w:val="18"/>
          <w:szCs w:val="18"/>
          <w:color w:val="auto"/>
        </w:rPr>
        <w:t>In addition to the expected inflation as a result of the newly imposed tariffs,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sustained elevated interest rates and volatile energy costs continue. While the Federal Reserve cut its benchmark federal funds rate by 0.75 percentage points via three separate cuts since June 30, 2025, consumer confidence continued to decline steadily due to concerns over high prices, tariffs and a softening labor market. Consumers may still put off making purchase decisions and cut back on overall spending, which could impact the Company’s sales volumes.</w:t>
      </w:r>
    </w:p>
    <w:p>
      <w:pPr>
        <w:spacing w:after="0" w:line="14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As noted, the Company will experience higher costs for commodities and packaging materials due to the recently enacted tariffs and will react with pricing actions in the coming quarter and as it deems necessary. The Company continues to work with a dedicated freight forwarding partner to minimize freight rate increases. Other risk factors further exacerbated by inflation include supply chain disruptions, increased oil and energy costs, risks of international operations and the recruitment and retention of talent.</w:t>
      </w:r>
    </w:p>
    <w:p>
      <w:pPr>
        <w:spacing w:after="0" w:line="15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Supply Chain Disruption and Trade Tensions with China - </w:t>
      </w:r>
      <w:r>
        <w:rPr>
          <w:rFonts w:ascii="Times New Roman" w:cs="Times New Roman" w:eastAsia="Times New Roman" w:hAnsi="Times New Roman"/>
          <w:sz w:val="18"/>
          <w:szCs w:val="18"/>
          <w:color w:val="auto"/>
        </w:rPr>
        <w:t>The Company faces significant risks due to reliance on third-party supply chains, primarily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southern China and Taiwan, distribution networks and the availability of necessary components to produce a considerable number of our products. Issues such as pandemic restrictions, geopolitical unrest, labor shortages, strikes, and component procurement failures could delay manufacturing and increase costs. The escalating U.S.-China tariff war has severely disrupted supply chains, impacting both domestic industries and global trade dynamics. Continued geopolitical tensions between China and Taiwan may affect future shipments from Taiwan-based suppliers. Adverse changes in social, political, regulatory, or economic conditions could increase product costs or delay shipments. The escalation of trade tensions might lead to retaliatory trade restrictions, potentially affecting the Company's ability to source products from China or conduct business internationally. Any alterations to our business strategy or operations made in order to adapt to or comply with any such changes would be time-consuming and expensive, with limited ability to pass increased tariffs and freight costs onto customers. Broad tariffs may shift supply chains out of China, which could cause inflation to rise, impacting costs and consumer demand. The Company will continue to monitor the evolving situation and others that may arise as the changes in the current labor landscape, coupled with rising inflation and energy prices, could potentially exacerbate disruptions in the supply chain, delay product shipments and increase transportation costs.</w:t>
      </w:r>
    </w:p>
    <w:p>
      <w:pPr>
        <w:spacing w:after="0" w:line="212"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Russia’s Invasion of Ukraine – </w:t>
      </w:r>
      <w:r>
        <w:rPr>
          <w:rFonts w:ascii="Times New Roman" w:cs="Times New Roman" w:eastAsia="Times New Roman" w:hAnsi="Times New Roman"/>
          <w:sz w:val="18"/>
          <w:szCs w:val="18"/>
          <w:color w:val="auto"/>
        </w:rPr>
        <w:t>The United States and global markets continue to experience volatility and disruption resulting from the ongoing conflict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Russia and Ukraine, which began following the invasion of Ukraine by Russia in February 2022. The significant sanctions and export controls imposed against Russia, certain Russian banks and Russian individuals by the U.S. and other countries remain unchanged. The Company suspended all sales to Russia in April 2022 in accordance with Executive Order 14071 and no sales were made to Russia since that time. While there is a humanitarian crisis in Ukraine created by the war and the population continues to seek refuge in other countries, the Company continues to receive orders from a Ukrainian distributor. During the three and six months ended December 31, 2024, there were nearly $39,000 in sales to this distributor. There were no sales to the Ukrainian distributor in the six months of fiscal year 2026, however, an order for approximately $30,000 was received and will ship out in the coming quarter.</w:t>
      </w:r>
    </w:p>
    <w:p>
      <w:pPr>
        <w:spacing w:after="0" w:line="16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Cyberattacks - </w:t>
      </w:r>
      <w:r>
        <w:rPr>
          <w:rFonts w:ascii="Times New Roman" w:cs="Times New Roman" w:eastAsia="Times New Roman" w:hAnsi="Times New Roman"/>
          <w:sz w:val="18"/>
          <w:szCs w:val="18"/>
          <w:color w:val="auto"/>
        </w:rPr>
        <w:t>Cyberattacks are a growing geopolitical risk, becoming larger, more frequent, more sophisticated and more relentless as technology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evolved, resulting in privacy, security, and compliance concerns. They are a significant threat to individual organizations and national security. High-profile security breaches at other companies and in government agencies have increased in recent years, and security industry experts and government officials have warned about the risks of hackers and cyberattacks targeting businesses. We rely on accounting, 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 While we devote resources to security measures to protect our systems and data, these measures cannot provide absolute security and there is a risk that these types of attacks could impact the entire supply and distribution chain for the Company’s product line. Given connectivity through the internet, the Company can only be as strong as its weakest link, whether that is a financial service provider, third party distributor, reseller, transportation service provider, contract manufacturer, customer or consumer.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investing and financing activities for the six months ended December 31,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78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1,823</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(50,419)</w:t>
            </w:r>
          </w:p>
        </w:tc>
      </w:tr>
      <w:tr>
        <w:trPr>
          <w:trHeight w:val="189"/>
        </w:trPr>
        <w:tc>
          <w:tcPr>
            <w:tcW w:w="7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6"/>
                <w:szCs w:val="16"/>
                <w:color w:val="auto"/>
              </w:rPr>
            </w:pPr>
          </w:p>
        </w:tc>
        <w:tc>
          <w:tcPr>
            <w:tcW w:w="142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(361,092)</w:t>
            </w:r>
          </w:p>
        </w:tc>
        <w:tc>
          <w:tcPr>
            <w:tcW w:w="3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(403,380)</w:t>
            </w:r>
          </w:p>
        </w:tc>
      </w:tr>
      <w:tr>
        <w:trPr>
          <w:trHeight w:val="189"/>
        </w:trPr>
        <w:tc>
          <w:tcPr>
            <w:tcW w:w="7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16,310</w:t>
            </w:r>
          </w:p>
        </w:tc>
        <w:tc>
          <w:tcPr>
            <w:tcW w:w="1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152,445</w:t>
            </w:r>
          </w:p>
        </w:tc>
      </w:tr>
      <w:tr>
        <w:trPr>
          <w:trHeight w:val="183"/>
        </w:trPr>
        <w:tc>
          <w:tcPr>
            <w:tcW w:w="78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(342,959)</w:t>
            </w:r>
          </w:p>
        </w:tc>
        <w:tc>
          <w:tcPr>
            <w:tcW w:w="180" w:type="dxa"/>
            <w:vAlign w:val="bottom"/>
          </w:tcPr>
          <w:p>
            <w:pPr>
              <w:spacing w:after="0"/>
              <w:rPr>
                <w:sz w:val="15"/>
                <w:szCs w:val="15"/>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(301,354)</w:t>
            </w: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The cash provided by operating activities during the six months ending December 31, 2025 was due to the $512,000 IRS refund received in the first quarter relating to employer payroll taxes incorrectly paid in prior years on the gains from the disqualifying dispositions of incentive stock options. This cash inflow was mostly offset by payments to the Custom Border Patrol for tariffs on inventory purchased from China and payment of the Company’s annual insurance premiums, which is made in advance at the beginning of the fiscal year and recorded in expense over the next twelve months. The cash used in operating activities during the six months ending December 31, 2024 was driven primarily by the net operating loss for the first half of the year, offset by improvements in working capital and the receipt of a partial refund of the employee and employer payroll taxes inappropriately withheld related to the gains from the disqualifying dispositions of incentive stock options.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by investing activities for the six months ended December 31, 2025 was due mostly to replacement of the third roof section of the building at</w:t>
      </w:r>
    </w:p>
    <w:p>
      <w:pPr>
        <w:spacing w:after="0" w:line="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$269,000, a sprinkler system valve replacement and various new product tooling purchases. The Company also paid premiums of $51,000 on the company-owned life insurance policies on two of its executives. Total proceeds of $3,000,000 were received during the first half of fiscal year 2026 from the redemption of U.S. Treasury securities and $2,998,000 of new U.S. Treasury securities were purchased at a net discount of $1,000 during that same period. Cash used by investing activities for the six months ended December 31, 2024 was related mostly to fixed asset expenditures, namely the replacement of a second roof section of the building for $346,000, and the payment of $71,000 in premiums on the company-owned life insurance policies on two of its executives. Proceeds of $7,085,000 received during the six months ended December 31, 2024 from the maturity of U.S. Treasury securities were mostly reinvested to purchase $7,059,000 of similar securities at a $61,000 discount.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Cash from the exercise of stock options during the six-month period ended December 31, 2025 provided the majority of the cash from financing activities. Principal payments on a finance lease for a new reach truck leased for the warehouse at the beginning of the year slightly offset cash provided. A total of 10,000 shares of common stock were issued as a result of employee stock option exercises under grants that were still outstanding from the Company’s 2012 Omnibus Incentive Plan. For the six months ended December 31, 2024, an aggregate of 76,000 shares of common stock were issued as a result of employee stock option exercises under grants outstanding from the Company’s 2012 Omnibus Incentive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June 30, 2025, the Company had no outstanding borrowings on its bank line of credit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common stock in the six months ended December 31, 2025 or 2024 under the Company’s stock repurchase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The Company believes its existing cash and cash equivalents, investments in short-term U.S. Treasury securities, cash provided by operating activities and available borrowings under its credit facility, if any,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expenditures, or draw on its credit facilities. The Company regularly evaluates new product offerings, inventory levels and capital expenditures to ensure that it is effectively allocating resources in line with current market conditions.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December 31, 2025, the Company was in compliance with all covenants related to the Credit Agreement. As of December 31, 2025 and June 30, 2025, there were no outstanding borrowings on the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126,000 square foot facility from Koss Holdings, LLC, which is controlled by five equal ownership interests in trusts held by the</w:t>
      </w:r>
    </w:p>
    <w:p>
      <w:pPr>
        <w:spacing w:after="0" w:line="237" w:lineRule="auto"/>
        <w:rPr>
          <w:sz w:val="20"/>
          <w:szCs w:val="20"/>
          <w:color w:val="auto"/>
        </w:rPr>
      </w:pPr>
      <w:r>
        <w:rPr>
          <w:rFonts w:ascii="Times New Roman" w:cs="Times New Roman" w:eastAsia="Times New Roman" w:hAnsi="Times New Roman"/>
          <w:sz w:val="18"/>
          <w:szCs w:val="18"/>
          <w:color w:val="auto"/>
        </w:rPr>
        <w:t>five beneficiaries of a former chairman’s revocable trust and includes current stockholders of the Company. On May 24, 2022, the lease was renewed for a</w:t>
      </w:r>
    </w:p>
    <w:p>
      <w:pPr>
        <w:spacing w:after="0" w:line="219" w:lineRule="auto"/>
        <w:rPr>
          <w:sz w:val="20"/>
          <w:szCs w:val="20"/>
          <w:color w:val="auto"/>
        </w:rPr>
      </w:pPr>
      <w:r>
        <w:rPr>
          <w:rFonts w:ascii="Times New Roman" w:cs="Times New Roman" w:eastAsia="Times New Roman" w:hAnsi="Times New Roman"/>
          <w:sz w:val="18"/>
          <w:szCs w:val="18"/>
          <w:color w:val="auto"/>
        </w:rPr>
        <w:t>period of five years, ending June 30, 2028, and is being accounted for as an operating lease. The lease extension maintained the rent at a fixed rate of</w:t>
      </w:r>
    </w:p>
    <w:p>
      <w:pPr>
        <w:spacing w:after="0" w:line="235" w:lineRule="auto"/>
        <w:rPr>
          <w:sz w:val="20"/>
          <w:szCs w:val="20"/>
          <w:color w:val="auto"/>
        </w:rPr>
      </w:pPr>
      <w:r>
        <w:rPr>
          <w:rFonts w:ascii="Times New Roman" w:cs="Times New Roman" w:eastAsia="Times New Roman" w:hAnsi="Times New Roman"/>
          <w:sz w:val="18"/>
          <w:szCs w:val="18"/>
          <w:color w:val="auto"/>
        </w:rPr>
        <w:t>$380,000 per year. The Company has the option to renew the lease for an additional five years beginning July 1, 2028 and ending June 30, 2033 under the</w:t>
      </w:r>
    </w:p>
    <w:p>
      <w:pPr>
        <w:spacing w:after="0" w:line="219" w:lineRule="auto"/>
        <w:rPr>
          <w:sz w:val="20"/>
          <w:szCs w:val="20"/>
          <w:color w:val="auto"/>
        </w:rPr>
      </w:pPr>
      <w:r>
        <w:rPr>
          <w:rFonts w:ascii="Times New Roman" w:cs="Times New Roman" w:eastAsia="Times New Roman" w:hAnsi="Times New Roman"/>
          <w:sz w:val="18"/>
          <w:szCs w:val="18"/>
          <w:color w:val="auto"/>
        </w:rPr>
        <w:t>same terms and conditions except that the annual rent will increase to $397,000. The negotiated increase in rent slated for 2028 will be the first increase in</w:t>
      </w:r>
    </w:p>
    <w:p>
      <w:pPr>
        <w:spacing w:after="0" w:line="219" w:lineRule="auto"/>
        <w:rPr>
          <w:sz w:val="20"/>
          <w:szCs w:val="20"/>
          <w:color w:val="auto"/>
        </w:rPr>
      </w:pPr>
      <w:r>
        <w:rPr>
          <w:rFonts w:ascii="Times New Roman" w:cs="Times New Roman" w:eastAsia="Times New Roman" w:hAnsi="Times New Roman"/>
          <w:sz w:val="18"/>
          <w:szCs w:val="18"/>
          <w:color w:val="auto"/>
        </w:rPr>
        <w:t>rent since 1996. The Company is responsible for all property maintenance, insurance, taxes and other normal expenses related to ownership. The facility is</w:t>
      </w:r>
    </w:p>
    <w:p>
      <w:pPr>
        <w:spacing w:after="0"/>
        <w:rPr>
          <w:sz w:val="20"/>
          <w:szCs w:val="20"/>
          <w:color w:val="auto"/>
        </w:rPr>
      </w:pPr>
      <w:r>
        <w:rPr>
          <w:rFonts w:ascii="Times New Roman" w:cs="Times New Roman" w:eastAsia="Times New Roman" w:hAnsi="Times New Roman"/>
          <w:sz w:val="18"/>
          <w:szCs w:val="18"/>
          <w:color w:val="auto"/>
        </w:rPr>
        <w:t>in good repair and, in the opinion of management, is suitable and adequate for the Company’s business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from the information we provided in our Annual Report on Form 10-K for the fiscal year ended June 30,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Company did not have any transactions, obligations or relationships that could be considered off-balance sheet arrangements.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such information is accumulated and communicated to management, including the principal executive officer and principal financial officer, as appropriate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spacing w:after="0" w:line="14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Company’s management, including the Company’s Chief Executive Officer and Chief Financial Officer, evaluated the effectiveness of the design and operation of the Company’s disclosure controls and procedures (as defined in Rules 13a-15(e) and 15d-15(e) under the Exchange Act) as of December 31, 2025. The Company’s Chief Executive Officer and Chief Financial Officer have concluded that the Company’s disclosure controls and procedures as of December 31, 2025 were effective.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8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Exchange Act Rules 13a–15(f) and 15d–15(f)) that occurred during the Company’s most recent fiscal quarter that have materially affected, or are reasonably likely to materially affect, the Company’s internal control over financial reporting.</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As part of its intellectual property enforcement program, on July 22, 2020, the Company brought patent infringement suits against certain parties, including PEAG, LLC d/b/a jLab Audio and Skullcandy, Inc., alleging infringement of the Company’s patents relating to its wireless headphone technology and seeking monetary relief and attorneys’ fees. The lawsuit against PEAG LLG d/b/a JLab Audio was dismissed on November 20, 2025 following resolution of the litigation between the parties. One lawsuit is still unresolved and pending in the U.S. District Court in the District of Utah (Skullcandy, Inc.).</w:t>
      </w:r>
    </w:p>
    <w:p>
      <w:pPr>
        <w:spacing w:after="0" w:line="14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“Risk Factors” in our Annual Report on Form 10-K for the fiscal year ended June 30, 2025, as filed with the Securities and Exchange Commission on August 29, 2025.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report. There have been no material changes to the risk factors described under “Risk Factors,” included in our Annual Report on Form 10-K for the fiscal year ended June 30, 2025.</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of the Company made during the three months ended December 31, 2025, by the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REPURCHASES OF EQUITY SECURITIES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0" w:type="dxa"/>
            <w:vAlign w:val="bottom"/>
          </w:tcPr>
          <w:p>
            <w:pPr>
              <w:spacing w:after="0"/>
              <w:rPr>
                <w:sz w:val="24"/>
                <w:szCs w:val="24"/>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22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10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 # of</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ind w:left="480"/>
              <w:spacing w:after="0" w:line="202"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20" w:type="dxa"/>
            <w:vAlign w:val="bottom"/>
          </w:tcPr>
          <w:p>
            <w:pPr>
              <w:spacing w:after="0"/>
              <w:rPr>
                <w:sz w:val="17"/>
                <w:szCs w:val="17"/>
                <w:color w:val="auto"/>
              </w:rPr>
            </w:pPr>
          </w:p>
        </w:tc>
        <w:tc>
          <w:tcPr>
            <w:tcW w:w="70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Available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10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Paid</w:t>
            </w: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w:t>
            </w:r>
          </w:p>
        </w:tc>
        <w:tc>
          <w:tcPr>
            <w:tcW w:w="22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under Repurchase</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11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19"/>
                <w:szCs w:val="19"/>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183"/>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October 1 - October 31, 2025</w:t>
            </w:r>
          </w:p>
        </w:tc>
        <w:tc>
          <w:tcPr>
            <w:tcW w:w="1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5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5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1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r>
        <w:trPr>
          <w:trHeight w:val="189"/>
        </w:trPr>
        <w:tc>
          <w:tcPr>
            <w:tcW w:w="5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November 1 - November 30, 2025</w:t>
            </w:r>
          </w:p>
        </w:tc>
        <w:tc>
          <w:tcPr>
            <w:tcW w:w="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r>
        <w:trPr>
          <w:trHeight w:val="189"/>
        </w:trPr>
        <w:tc>
          <w:tcPr>
            <w:tcW w:w="57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1 - December 31, 2025</w:t>
            </w:r>
          </w:p>
        </w:tc>
        <w:tc>
          <w:tcPr>
            <w:tcW w:w="5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53"/>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ind w:lef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2,139,753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right="700" w:hanging="322"/>
        <w:spacing w:after="0" w:line="23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of 1995, the Board of Directors approved a stock repurchase program authorizing the Company to purchase from time to time up to $2,000,000 of its common stock for its own account. Subsequently, the Board of Directors periodically has approved increases in the stock repurchase program. The most recent increase was for an additional $2,000,000 in October 2006, for a maximum of $45,500,000 of which $43,360,247 had been expended through December 31, 2025.</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56"/>
        </w:trPr>
        <w:tc>
          <w:tcPr>
            <w:tcW w:w="1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CCEEFF"/>
            </w:tcBorders>
            <w:shd w:val="clear" w:color="auto" w:fill="CCEEFF"/>
          </w:tcPr>
          <w:p>
            <w:pPr>
              <w:spacing w:after="0"/>
              <w:rPr>
                <w:sz w:val="13"/>
                <w:szCs w:val="13"/>
                <w:color w:val="auto"/>
              </w:rPr>
            </w:pPr>
          </w:p>
        </w:tc>
        <w:tc>
          <w:tcPr>
            <w:tcW w:w="9860" w:type="dxa"/>
            <w:vAlign w:val="bottom"/>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Certificate of Incorporation of Koss Corporation, as in effect on November 19, 2009. Filed as Exhibit 3.1 to the</w:t>
              </w:r>
            </w:hyperlink>
          </w:p>
        </w:tc>
      </w:tr>
      <w:tr>
        <w:trPr>
          <w:trHeight w:val="189"/>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860" w:type="dxa"/>
            <w:vAlign w:val="bottom"/>
            <w:tcBorders>
              <w:top w:val="single" w:sz="8" w:color="0000FF"/>
              <w:bottom w:val="single" w:sz="8" w:color="0000FF"/>
            </w:tcBorders>
            <w:gridSpan w:val="5"/>
            <w:shd w:val="clear" w:color="auto" w:fill="CCEEFF"/>
          </w:tcPr>
          <w:p>
            <w:pPr>
              <w:spacing w:after="0" w:line="182"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Company’s Quarterly Report on Form 10-Q for the period ended December 31, 2009 and incorporated herein by reference.</w:t>
              </w:r>
            </w:hyperlink>
          </w:p>
        </w:tc>
        <w:tc>
          <w:tcPr>
            <w:tcW w:w="9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4"/>
                <w:szCs w:val="14"/>
                <w:color w:val="auto"/>
              </w:rPr>
            </w:pPr>
          </w:p>
        </w:tc>
        <w:tc>
          <w:tcPr>
            <w:tcW w:w="9860" w:type="dxa"/>
            <w:vAlign w:val="bottom"/>
            <w:gridSpan w:val="12"/>
          </w:tcPr>
          <w:p>
            <w:pPr>
              <w:spacing w:after="0" w:line="16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By-Laws of Koss Corporation. Filed as Exhibit 3.2 to the Company’s Annual Report on Form 10-K for the year ended June 30, 1996</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right w:val="single" w:sz="8" w:color="CCEEFF"/>
            </w:tcBorders>
            <w:shd w:val="clear" w:color="auto" w:fill="CCEEFF"/>
          </w:tcPr>
          <w:p>
            <w:pPr>
              <w:spacing w:after="0"/>
              <w:rPr>
                <w:sz w:val="14"/>
                <w:szCs w:val="14"/>
                <w:color w:val="auto"/>
              </w:rPr>
            </w:pPr>
          </w:p>
        </w:tc>
        <w:tc>
          <w:tcPr>
            <w:tcW w:w="9860" w:type="dxa"/>
            <w:vAlign w:val="bottom"/>
            <w:gridSpan w:val="12"/>
            <w:shd w:val="clear" w:color="auto" w:fill="CCEEFF"/>
          </w:tcPr>
          <w:p>
            <w:pPr>
              <w:spacing w:after="0" w:line="16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Amendment to the By-Laws of Koss Corporation. Filed as Exhibit 3.3 to the Company’s Current Report on Form 8-K on March 9, 2006</w:t>
              </w:r>
            </w:hyperlink>
          </w:p>
        </w:tc>
      </w:tr>
      <w:tr>
        <w:trPr>
          <w:trHeight w:val="183"/>
        </w:trPr>
        <w:tc>
          <w:tcPr>
            <w:tcW w:w="1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and incorporated herein by reference.</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27"/>
        </w:trPr>
        <w:tc>
          <w:tcPr>
            <w:tcW w:w="1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394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4"/>
                <w:szCs w:val="14"/>
                <w:color w:val="auto"/>
              </w:rPr>
            </w:pPr>
          </w:p>
        </w:tc>
        <w:tc>
          <w:tcPr>
            <w:tcW w:w="9860" w:type="dxa"/>
            <w:vAlign w:val="bottom"/>
            <w:gridSpan w:val="12"/>
          </w:tcPr>
          <w:p>
            <w:pPr>
              <w:spacing w:after="0" w:line="16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Amendment to the By-Laws of Koss Corporation. Filed as Exhibit 3.4 to the Company’s Annual Report on Form 10-K on August 27,</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6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2020 and incorporated herein by reference.</w:t>
              </w:r>
            </w:hyperlink>
          </w:p>
        </w:tc>
        <w:tc>
          <w:tcPr>
            <w:tcW w:w="200" w:type="dxa"/>
            <w:vAlign w:val="bottom"/>
            <w:gridSpan w:val="3"/>
          </w:tcPr>
          <w:p>
            <w:pPr>
              <w:spacing w:after="0"/>
              <w:rPr>
                <w:sz w:val="15"/>
                <w:szCs w:val="15"/>
                <w:color w:val="auto"/>
              </w:rPr>
            </w:pP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right w:val="single" w:sz="8" w:color="CCEEFF"/>
            </w:tcBorders>
            <w:shd w:val="clear" w:color="auto" w:fill="CCEEFF"/>
          </w:tcPr>
          <w:p>
            <w:pPr>
              <w:spacing w:after="0"/>
              <w:rPr>
                <w:sz w:val="14"/>
                <w:szCs w:val="14"/>
                <w:color w:val="auto"/>
              </w:rPr>
            </w:pPr>
          </w:p>
        </w:tc>
        <w:tc>
          <w:tcPr>
            <w:tcW w:w="986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 **</w:t>
            </w:r>
          </w:p>
        </w:tc>
      </w:tr>
      <w:tr>
        <w:trPr>
          <w:trHeight w:val="27"/>
        </w:trPr>
        <w:tc>
          <w:tcPr>
            <w:tcW w:w="12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940" w:type="dxa"/>
            <w:vAlign w:val="bottom"/>
            <w:tcBorders>
              <w:left w:val="single" w:sz="8" w:color="0000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4"/>
                <w:szCs w:val="14"/>
                <w:color w:val="auto"/>
              </w:rPr>
            </w:pPr>
          </w:p>
        </w:tc>
        <w:tc>
          <w:tcPr>
            <w:tcW w:w="9860" w:type="dxa"/>
            <w:vAlign w:val="bottom"/>
            <w:gridSpan w:val="12"/>
          </w:tcPr>
          <w:p>
            <w:pPr>
              <w:spacing w:after="0" w:line="162"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 **</w:t>
            </w:r>
          </w:p>
        </w:tc>
      </w:tr>
      <w:tr>
        <w:trPr>
          <w:trHeight w:val="27"/>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right w:val="single" w:sz="8" w:color="CCEEFF"/>
            </w:tcBorders>
            <w:shd w:val="clear" w:color="auto" w:fill="CCEEFF"/>
          </w:tcPr>
          <w:p>
            <w:pPr>
              <w:spacing w:after="0"/>
              <w:rPr>
                <w:sz w:val="14"/>
                <w:szCs w:val="14"/>
                <w:color w:val="auto"/>
              </w:rPr>
            </w:pPr>
          </w:p>
        </w:tc>
        <w:tc>
          <w:tcPr>
            <w:tcW w:w="986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Michael Koss, Chief Executive Officer, pursuant to 18 U.S.C. Section 1350 as adopted pursuant to Section 906 of the</w:t>
            </w:r>
          </w:p>
        </w:tc>
      </w:tr>
      <w:tr>
        <w:trPr>
          <w:trHeight w:val="190"/>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360" w:type="dxa"/>
            <w:vAlign w:val="bottom"/>
            <w:tcBorders>
              <w:top w:val="single" w:sz="8" w:color="0000FF"/>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Sarbanes-Oxley Act of 2002 ***</w:t>
            </w:r>
          </w:p>
        </w:tc>
        <w:tc>
          <w:tcPr>
            <w:tcW w:w="728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4"/>
                <w:szCs w:val="14"/>
                <w:color w:val="auto"/>
              </w:rPr>
            </w:pPr>
          </w:p>
        </w:tc>
        <w:tc>
          <w:tcPr>
            <w:tcW w:w="9860" w:type="dxa"/>
            <w:vAlign w:val="bottom"/>
            <w:gridSpan w:val="12"/>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Kim Schulte, Chief Financial Officer, pursuant to 18 U.S.C. Section 1350 as adopted pursuant to Section 906 of the</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9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380"/>
        <w:spacing w:after="0" w:line="236" w:lineRule="auto"/>
        <w:rPr>
          <w:sz w:val="20"/>
          <w:szCs w:val="20"/>
          <w:color w:val="auto"/>
        </w:rPr>
      </w:pPr>
      <w:r>
        <w:rPr>
          <w:rFonts w:ascii="Times New Roman" w:cs="Times New Roman" w:eastAsia="Times New Roman" w:hAnsi="Times New Roman"/>
          <w:sz w:val="18"/>
          <w:szCs w:val="18"/>
          <w:u w:val="single" w:color="auto"/>
          <w:color w:val="0000FF"/>
        </w:rPr>
        <w:t>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-8890</wp:posOffset>
            </wp:positionV>
            <wp:extent cx="1503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ind w:left="1380" w:right="60" w:hanging="1359"/>
        <w:spacing w:after="0" w:line="226"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Koss Corporation's Quarterly Report on Form 10-Q for the quarter ended December 31, 2025, formatted in XBRL (eXtensible Business Reporting Language): (i) Condensed Consolidated Balance Sheets as of December 31,</w:t>
      </w:r>
    </w:p>
    <w:p>
      <w:pPr>
        <w:spacing w:after="0" w:line="1" w:lineRule="exact"/>
        <w:rPr>
          <w:rFonts w:ascii="Times New Roman" w:cs="Times New Roman" w:eastAsia="Times New Roman" w:hAnsi="Times New Roman"/>
          <w:sz w:val="18"/>
          <w:szCs w:val="18"/>
          <w:color w:val="auto"/>
        </w:rPr>
      </w:pPr>
    </w:p>
    <w:p>
      <w:pPr>
        <w:ind w:left="1380" w:right="14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and June 30, 2025, (ii) Condensed Consolidated Statements of Operations (Unaudited) for the three and six months ended December 31, 2025 and 2024 (iii) Condensed Consolidated Statements of Cash Flows (Unaudited) for the six months ended December 31, 2025 and 2024, (iv) Condensed Consolidated Statements of Stockholders' Equity (Unaudited) for the three and six months ended December 31, 2025 and 2024 and (v) the Notes to Condensed Consolidated Financial Statements (Unaudited).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-744220</wp:posOffset>
            </wp:positionV>
            <wp:extent cx="7132320" cy="737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agreement</w:t>
      </w:r>
    </w:p>
    <w:p>
      <w:pPr>
        <w:spacing w:after="0" w:line="2" w:lineRule="exact"/>
        <w:rPr>
          <w:rFonts w:ascii="Times New Roman" w:cs="Times New Roman" w:eastAsia="Times New Roman" w:hAnsi="Times New Roman"/>
          <w:sz w:val="18"/>
          <w:szCs w:val="18"/>
          <w:color w:val="auto"/>
        </w:rPr>
      </w:pPr>
    </w:p>
    <w:p>
      <w:pPr>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ind w:right="3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KOSS CORPORATION</w:t>
            </w:r>
          </w:p>
        </w:tc>
        <w:tc>
          <w:tcPr>
            <w:tcW w:w="8160" w:type="dxa"/>
            <w:vAlign w:val="bottom"/>
          </w:tcPr>
          <w:p>
            <w:pPr>
              <w:spacing w:after="0"/>
              <w:rPr>
                <w:sz w:val="20"/>
                <w:szCs w:val="20"/>
                <w:color w:val="auto"/>
              </w:rPr>
            </w:pPr>
          </w:p>
        </w:tc>
      </w:tr>
      <w:tr>
        <w:trPr>
          <w:trHeight w:val="405"/>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Koss</w:t>
            </w:r>
          </w:p>
        </w:tc>
        <w:tc>
          <w:tcPr>
            <w:tcW w:w="8160" w:type="dxa"/>
            <w:vAlign w:val="bottom"/>
          </w:tcPr>
          <w:p>
            <w:pPr>
              <w:ind w:left="6920"/>
              <w:spacing w:after="0"/>
              <w:rPr>
                <w:sz w:val="20"/>
                <w:szCs w:val="20"/>
                <w:color w:val="auto"/>
              </w:rPr>
            </w:pPr>
            <w:r>
              <w:rPr>
                <w:rFonts w:ascii="Times New Roman" w:cs="Times New Roman" w:eastAsia="Times New Roman" w:hAnsi="Times New Roman"/>
                <w:sz w:val="18"/>
                <w:szCs w:val="18"/>
                <w:color w:val="auto"/>
                <w:w w:val="98"/>
              </w:rPr>
              <w:t>January 30, 2026</w:t>
            </w:r>
          </w:p>
        </w:tc>
      </w:tr>
      <w:tr>
        <w:trPr>
          <w:trHeight w:val="151"/>
        </w:trPr>
        <w:tc>
          <w:tcPr>
            <w:tcW w:w="27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Michael J. Koss</w:t>
            </w:r>
          </w:p>
        </w:tc>
        <w:tc>
          <w:tcPr>
            <w:tcW w:w="8160" w:type="dxa"/>
            <w:vAlign w:val="bottom"/>
          </w:tcPr>
          <w:p>
            <w:pPr>
              <w:spacing w:after="0"/>
              <w:rPr>
                <w:sz w:val="13"/>
                <w:szCs w:val="13"/>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Chairman</w:t>
            </w:r>
          </w:p>
        </w:tc>
        <w:tc>
          <w:tcPr>
            <w:tcW w:w="8160" w:type="dxa"/>
            <w:vAlign w:val="bottom"/>
          </w:tcPr>
          <w:p>
            <w:pPr>
              <w:spacing w:after="0"/>
              <w:rPr>
                <w:sz w:val="16"/>
                <w:szCs w:val="16"/>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160" w:type="dxa"/>
            <w:vAlign w:val="bottom"/>
          </w:tcPr>
          <w:p>
            <w:pPr>
              <w:spacing w:after="0"/>
              <w:rPr>
                <w:sz w:val="20"/>
                <w:szCs w:val="20"/>
                <w:color w:val="auto"/>
              </w:rPr>
            </w:pPr>
          </w:p>
        </w:tc>
      </w:tr>
      <w:tr>
        <w:trPr>
          <w:trHeight w:val="41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Kim M. Schulte</w:t>
            </w:r>
          </w:p>
        </w:tc>
        <w:tc>
          <w:tcPr>
            <w:tcW w:w="8160" w:type="dxa"/>
            <w:vAlign w:val="bottom"/>
          </w:tcPr>
          <w:p>
            <w:pPr>
              <w:ind w:left="6920"/>
              <w:spacing w:after="0"/>
              <w:rPr>
                <w:sz w:val="20"/>
                <w:szCs w:val="20"/>
                <w:color w:val="auto"/>
              </w:rPr>
            </w:pPr>
            <w:r>
              <w:rPr>
                <w:rFonts w:ascii="Times New Roman" w:cs="Times New Roman" w:eastAsia="Times New Roman" w:hAnsi="Times New Roman"/>
                <w:sz w:val="18"/>
                <w:szCs w:val="18"/>
                <w:color w:val="auto"/>
                <w:w w:val="98"/>
              </w:rPr>
              <w:t>January 30, 2026</w:t>
            </w:r>
          </w:p>
        </w:tc>
      </w:tr>
      <w:tr>
        <w:trPr>
          <w:trHeight w:val="151"/>
        </w:trPr>
        <w:tc>
          <w:tcPr>
            <w:tcW w:w="27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Kim M. Schulte</w:t>
            </w:r>
          </w:p>
        </w:tc>
        <w:tc>
          <w:tcPr>
            <w:tcW w:w="8160" w:type="dxa"/>
            <w:vAlign w:val="bottom"/>
          </w:tcPr>
          <w:p>
            <w:pPr>
              <w:spacing w:after="0"/>
              <w:rPr>
                <w:sz w:val="13"/>
                <w:szCs w:val="13"/>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c>
          <w:tcPr>
            <w:tcW w:w="8160" w:type="dxa"/>
            <w:vAlign w:val="bottom"/>
          </w:tcPr>
          <w:p>
            <w:pPr>
              <w:spacing w:after="0"/>
              <w:rPr>
                <w:sz w:val="16"/>
                <w:szCs w:val="16"/>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8160" w:type="dxa"/>
            <w:vAlign w:val="bottom"/>
          </w:tcPr>
          <w:p>
            <w:pPr>
              <w:spacing w:after="0"/>
              <w:rPr>
                <w:sz w:val="20"/>
                <w:szCs w:val="20"/>
                <w:color w:val="auto"/>
              </w:rPr>
            </w:pPr>
          </w:p>
        </w:tc>
      </w:tr>
      <w:tr>
        <w:trPr>
          <w:trHeight w:val="769"/>
        </w:trPr>
        <w:tc>
          <w:tcPr>
            <w:tcW w:w="2740" w:type="dxa"/>
            <w:vAlign w:val="bottom"/>
          </w:tcPr>
          <w:p>
            <w:pPr>
              <w:spacing w:after="0"/>
              <w:rPr>
                <w:sz w:val="24"/>
                <w:szCs w:val="24"/>
                <w:color w:val="auto"/>
              </w:rPr>
            </w:pPr>
          </w:p>
        </w:tc>
        <w:tc>
          <w:tcPr>
            <w:tcW w:w="8160" w:type="dxa"/>
            <w:vAlign w:val="bottom"/>
          </w:tcPr>
          <w:p>
            <w:pPr>
              <w:jc w:val="right"/>
              <w:ind w:right="509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0900"/>
          </w:cols>
          <w:pgMar w:left="320" w:top="108" w:right="67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Michael J. Koss, certify that:</w:t>
      </w:r>
    </w:p>
    <w:p>
      <w:pPr>
        <w:spacing w:after="0" w:line="185" w:lineRule="exact"/>
        <w:rPr>
          <w:sz w:val="20"/>
          <w:szCs w:val="20"/>
          <w:color w:val="auto"/>
        </w:rPr>
      </w:pPr>
    </w:p>
    <w:p>
      <w:pPr>
        <w:ind w:left="760" w:hanging="319"/>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Koss Corporation;</w:t>
      </w:r>
    </w:p>
    <w:p>
      <w:pPr>
        <w:spacing w:after="0" w:line="184" w:lineRule="exact"/>
        <w:rPr>
          <w:rFonts w:ascii="Times New Roman" w:cs="Times New Roman" w:eastAsia="Times New Roman" w:hAnsi="Times New Roman"/>
          <w:sz w:val="18"/>
          <w:szCs w:val="18"/>
          <w:color w:val="auto"/>
        </w:rPr>
      </w:pPr>
    </w:p>
    <w:p>
      <w:pPr>
        <w:ind w:left="760" w:right="340" w:hanging="319"/>
        <w:spacing w:after="0" w:line="23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760" w:right="180" w:hanging="319"/>
        <w:spacing w:after="0" w:line="23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760" w:right="540" w:hanging="319"/>
        <w:spacing w:after="0" w:line="23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1100" w:right="520" w:hanging="326"/>
        <w:spacing w:after="0" w:line="247" w:lineRule="auto"/>
        <w:tabs>
          <w:tab w:leader="none" w:pos="109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52" w:lineRule="exact"/>
        <w:rPr>
          <w:rFonts w:ascii="Times New Roman" w:cs="Times New Roman" w:eastAsia="Times New Roman" w:hAnsi="Times New Roman"/>
          <w:sz w:val="17"/>
          <w:szCs w:val="17"/>
          <w:color w:val="auto"/>
        </w:rPr>
      </w:pPr>
    </w:p>
    <w:p>
      <w:pPr>
        <w:ind w:left="1100" w:right="320" w:hanging="326"/>
        <w:spacing w:after="0" w:line="231" w:lineRule="auto"/>
        <w:tabs>
          <w:tab w:leader="none" w:pos="11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1100" w:right="320" w:hanging="326"/>
        <w:spacing w:after="0" w:line="224" w:lineRule="auto"/>
        <w:tabs>
          <w:tab w:leader="none" w:pos="11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760" w:right="480" w:hanging="319"/>
        <w:spacing w:after="0" w:line="23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100" w:right="500" w:hanging="326"/>
        <w:spacing w:after="0" w:line="250" w:lineRule="auto"/>
        <w:tabs>
          <w:tab w:leader="none" w:pos="10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Michael J. Koss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223520</wp:posOffset>
            </wp:positionV>
            <wp:extent cx="635190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Kim M. Schulte, certify that:</w:t>
      </w:r>
    </w:p>
    <w:p>
      <w:pPr>
        <w:spacing w:after="0" w:line="185" w:lineRule="exact"/>
        <w:rPr>
          <w:sz w:val="20"/>
          <w:szCs w:val="20"/>
          <w:color w:val="auto"/>
        </w:rPr>
      </w:pPr>
    </w:p>
    <w:p>
      <w:pPr>
        <w:ind w:left="760" w:hanging="31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Koss Corporation;</w:t>
      </w:r>
    </w:p>
    <w:p>
      <w:pPr>
        <w:spacing w:after="0" w:line="184" w:lineRule="exact"/>
        <w:rPr>
          <w:rFonts w:ascii="Times New Roman" w:cs="Times New Roman" w:eastAsia="Times New Roman" w:hAnsi="Times New Roman"/>
          <w:sz w:val="18"/>
          <w:szCs w:val="18"/>
          <w:color w:val="auto"/>
        </w:rPr>
      </w:pPr>
    </w:p>
    <w:p>
      <w:pPr>
        <w:ind w:left="760" w:right="340" w:hanging="319"/>
        <w:spacing w:after="0" w:line="23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760" w:right="180" w:hanging="319"/>
        <w:spacing w:after="0" w:line="23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760" w:right="540" w:hanging="319"/>
        <w:spacing w:after="0" w:line="23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8"/>
          <w:szCs w:val="18"/>
          <w:color w:val="auto"/>
        </w:rPr>
      </w:pPr>
    </w:p>
    <w:p>
      <w:pPr>
        <w:jc w:val="both"/>
        <w:ind w:left="1100" w:right="520" w:hanging="326"/>
        <w:spacing w:after="0" w:line="247" w:lineRule="auto"/>
        <w:tabs>
          <w:tab w:leader="none" w:pos="109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52" w:lineRule="exact"/>
        <w:rPr>
          <w:rFonts w:ascii="Times New Roman" w:cs="Times New Roman" w:eastAsia="Times New Roman" w:hAnsi="Times New Roman"/>
          <w:sz w:val="17"/>
          <w:szCs w:val="17"/>
          <w:color w:val="auto"/>
        </w:rPr>
      </w:pPr>
    </w:p>
    <w:p>
      <w:pPr>
        <w:ind w:left="1100" w:right="320" w:hanging="326"/>
        <w:spacing w:after="0" w:line="231" w:lineRule="auto"/>
        <w:tabs>
          <w:tab w:leader="none" w:pos="11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1100" w:right="320" w:hanging="326"/>
        <w:spacing w:after="0" w:line="224" w:lineRule="auto"/>
        <w:tabs>
          <w:tab w:leader="none" w:pos="11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760" w:right="500" w:hanging="319"/>
        <w:spacing w:after="0" w:line="23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1100" w:right="200" w:hanging="326"/>
        <w:spacing w:after="0" w:line="231" w:lineRule="auto"/>
        <w:tabs>
          <w:tab w:leader="none" w:pos="10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1100" w:right="500" w:hanging="326"/>
        <w:spacing w:after="0" w:line="250" w:lineRule="auto"/>
        <w:tabs>
          <w:tab w:leader="none" w:pos="10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30,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903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Kim M. Schulte</w:t>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231775</wp:posOffset>
            </wp:positionV>
            <wp:extent cx="635190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ind w:right="1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Koss, Chief Executive Officer of Koss Corporation (the “Company”), hereby certify, pursuant to Section 906 of the</w:t>
      </w: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my knowledge:</w:t>
      </w:r>
    </w:p>
    <w:p>
      <w:pPr>
        <w:spacing w:after="0" w:line="138" w:lineRule="exact"/>
        <w:rPr>
          <w:sz w:val="20"/>
          <w:szCs w:val="20"/>
          <w:color w:val="auto"/>
        </w:rPr>
      </w:pPr>
    </w:p>
    <w:p>
      <w:pPr>
        <w:jc w:val="both"/>
        <w:ind w:left="640" w:right="240" w:hanging="319"/>
        <w:spacing w:after="0" w:line="23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December 31, 2025 (the “Report”) fully complies with the requirements of Section 13(a) or Section 15(d), as applicable, of the Securities Exchange Act of 1934, as amended; and</w:t>
      </w:r>
    </w:p>
    <w:p>
      <w:pPr>
        <w:spacing w:after="0" w:line="158" w:lineRule="exact"/>
        <w:rPr>
          <w:rFonts w:ascii="Times New Roman" w:cs="Times New Roman" w:eastAsia="Times New Roman" w:hAnsi="Times New Roman"/>
          <w:sz w:val="18"/>
          <w:szCs w:val="18"/>
          <w:color w:val="auto"/>
        </w:rPr>
      </w:pPr>
    </w:p>
    <w:p>
      <w:pPr>
        <w:ind w:left="640" w:right="820" w:hanging="319"/>
        <w:spacing w:after="0" w:line="23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0</wp:posOffset>
            </wp:positionV>
            <wp:extent cx="1903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6820"/>
        <w:spacing w:after="0" w:line="205" w:lineRule="auto"/>
        <w:rPr>
          <w:sz w:val="20"/>
          <w:szCs w:val="20"/>
          <w:color w:val="auto"/>
        </w:rPr>
      </w:pPr>
      <w:r>
        <w:rPr>
          <w:rFonts w:ascii="Times New Roman" w:cs="Times New Roman" w:eastAsia="Times New Roman" w:hAnsi="Times New Roman"/>
          <w:sz w:val="18"/>
          <w:szCs w:val="18"/>
          <w:color w:val="auto"/>
        </w:rPr>
        <w:t>Michael J. Koss</w:t>
      </w:r>
    </w:p>
    <w:p>
      <w:pPr>
        <w:ind w:left="6820"/>
        <w:spacing w:after="0" w:line="204" w:lineRule="auto"/>
        <w:rPr>
          <w:sz w:val="20"/>
          <w:szCs w:val="20"/>
          <w:color w:val="auto"/>
        </w:rPr>
      </w:pPr>
      <w:r>
        <w:rPr>
          <w:rFonts w:ascii="Times New Roman" w:cs="Times New Roman" w:eastAsia="Times New Roman" w:hAnsi="Times New Roman"/>
          <w:sz w:val="18"/>
          <w:szCs w:val="18"/>
          <w:color w:val="auto"/>
        </w:rPr>
        <w:t>Chairman and Chief Executive Officer</w:t>
      </w:r>
    </w:p>
    <w:p>
      <w:pPr>
        <w:ind w:left="6820"/>
        <w:spacing w:after="0"/>
        <w:rPr>
          <w:sz w:val="20"/>
          <w:szCs w:val="20"/>
          <w:color w:val="auto"/>
        </w:rPr>
      </w:pPr>
      <w:r>
        <w:rPr>
          <w:rFonts w:ascii="Times New Roman" w:cs="Times New Roman" w:eastAsia="Times New Roman" w:hAnsi="Times New Roman"/>
          <w:sz w:val="18"/>
          <w:szCs w:val="18"/>
          <w:color w:val="auto"/>
        </w:rPr>
        <w:t>Dated: 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343535</wp:posOffset>
            </wp:positionV>
            <wp:extent cx="635190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820"/>
          </w:cols>
          <w:pgMar w:left="1100" w:top="104" w:right="9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ind w:right="18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 M. Schulte, Chief Financial Officer of Koss Corporation (the “Company”), hereby certify, pursuant to Section 906 of the</w:t>
      </w: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my knowledge:</w:t>
      </w:r>
    </w:p>
    <w:p>
      <w:pPr>
        <w:spacing w:after="0" w:line="138" w:lineRule="exact"/>
        <w:rPr>
          <w:sz w:val="20"/>
          <w:szCs w:val="20"/>
          <w:color w:val="auto"/>
        </w:rPr>
      </w:pPr>
    </w:p>
    <w:p>
      <w:pPr>
        <w:jc w:val="both"/>
        <w:ind w:left="640" w:right="240" w:hanging="319"/>
        <w:spacing w:after="0" w:line="23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December 31, 2025 (the “Report”) fully complies with the requirements of Section 13(a) or Section 15(d), as applicable, of the Securities Exchange Act of 1934, as amended; and</w:t>
      </w:r>
    </w:p>
    <w:p>
      <w:pPr>
        <w:spacing w:after="0" w:line="158" w:lineRule="exact"/>
        <w:rPr>
          <w:rFonts w:ascii="Times New Roman" w:cs="Times New Roman" w:eastAsia="Times New Roman" w:hAnsi="Times New Roman"/>
          <w:sz w:val="18"/>
          <w:szCs w:val="18"/>
          <w:color w:val="auto"/>
        </w:rPr>
      </w:pPr>
    </w:p>
    <w:p>
      <w:pPr>
        <w:ind w:left="640" w:right="820" w:hanging="319"/>
        <w:spacing w:after="0" w:line="23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0</wp:posOffset>
            </wp:positionV>
            <wp:extent cx="1851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6900"/>
        <w:spacing w:after="0" w:line="205" w:lineRule="auto"/>
        <w:rPr>
          <w:sz w:val="20"/>
          <w:szCs w:val="20"/>
          <w:color w:val="auto"/>
        </w:rPr>
      </w:pPr>
      <w:r>
        <w:rPr>
          <w:rFonts w:ascii="Times New Roman" w:cs="Times New Roman" w:eastAsia="Times New Roman" w:hAnsi="Times New Roman"/>
          <w:sz w:val="18"/>
          <w:szCs w:val="18"/>
          <w:color w:val="auto"/>
        </w:rPr>
        <w:t>Kim M. Schulte</w:t>
      </w:r>
    </w:p>
    <w:p>
      <w:pPr>
        <w:ind w:left="690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6900"/>
        <w:spacing w:after="0"/>
        <w:rPr>
          <w:sz w:val="20"/>
          <w:szCs w:val="20"/>
          <w:color w:val="auto"/>
        </w:rPr>
      </w:pPr>
      <w:r>
        <w:rPr>
          <w:rFonts w:ascii="Times New Roman" w:cs="Times New Roman" w:eastAsia="Times New Roman" w:hAnsi="Times New Roman"/>
          <w:sz w:val="18"/>
          <w:szCs w:val="18"/>
          <w:color w:val="auto"/>
        </w:rPr>
        <w:t>Dated: January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343535</wp:posOffset>
            </wp:positionV>
            <wp:extent cx="635190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20"/>
      </w:cols>
      <w:pgMar w:left="1100" w:top="1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6"/>
    </w:lvl>
  </w:abstractNum>
  <w:abstractNum w:abstractNumId="4">
    <w:nsid w:val="12200854"/>
    <w:multiLevelType w:val="hybridMultilevel"/>
    <w:lvl w:ilvl="0">
      <w:lvlJc w:val="left"/>
      <w:lvlText w:val=" "/>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35" Type="http://schemas.openxmlformats.org/officeDocument/2006/relationships/hyperlink" Target="http://www.sec.gov/Archives/edgar/data/56701/000110465910007400/a10-3870_1ex3d1.htm" TargetMode="External"/><Relationship Id="rId36" Type="http://schemas.openxmlformats.org/officeDocument/2006/relationships/hyperlink" Target="http://www.sec.gov/Archives/edgar/data/56701/0000950124-96-004183.txt" TargetMode="External"/><Relationship Id="rId37" Type="http://schemas.openxmlformats.org/officeDocument/2006/relationships/hyperlink" Target="http://www.sec.gov/Archives/edgar/data/56701/000118143106017205/rrd110598_12229.htm" TargetMode="External"/><Relationship Id="rId38" Type="http://schemas.openxmlformats.org/officeDocument/2006/relationships/hyperlink" Target="http://www.sec.gov/Archives/edgar/data/56701/000143774920018841/ex_2010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2026-01-30T06:16:14Z</dcterms:created>
  <dcterms:modified xsi:type="dcterms:W3CDTF">2026-01-30T06:16:14Z</dcterms:modified>
</cp:coreProperties>
</file>